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8.xml" ContentType="application/vnd.openxmlformats-officedocument.wordprocessingml.header+xml"/>
  <Override PartName="/word/footer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1.xml" ContentType="application/vnd.openxmlformats-officedocument.wordprocessingml.header+xml"/>
  <Override PartName="/word/footer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7.xml" ContentType="application/vnd.openxmlformats-officedocument.wordprocessingml.header+xml"/>
  <Override PartName="/word/footer15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30.xml" ContentType="application/vnd.openxmlformats-officedocument.wordprocessingml.header+xml"/>
  <Override PartName="/word/footer18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33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35D0F">
      <w:pPr>
        <w:pageBreakBefore/>
        <w:jc w:val="center"/>
        <w:rPr>
          <w:rFonts w:ascii="Times New Roman" w:hAnsi="Times New Roman" w:cs="Times New Roman"/>
          <w:color w:val="000000"/>
          <w:lang/>
        </w:rPr>
      </w:pPr>
      <w:bookmarkStart w:id="0" w:name="_GoBack"/>
      <w:bookmarkEnd w:id="0"/>
      <w:r>
        <w:rPr>
          <w:rStyle w:val="21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opacity="0" color2="black"/>
            <v:imagedata r:id="rId7" o:title="" croptop="-774f" cropbottom="-774f" cropleft="-967f" cropright="-967f"/>
          </v:shape>
        </w:pict>
      </w:r>
    </w:p>
    <w:p w:rsidR="00000000" w:rsidRDefault="00535D0F">
      <w:pPr>
        <w:ind w:left="514"/>
        <w:contextualSpacing/>
        <w:jc w:val="center"/>
        <w:rPr>
          <w:rFonts w:ascii="Times New Roman" w:hAnsi="Times New Roman" w:cs="Times New Roman"/>
          <w:color w:val="000000"/>
          <w:lang/>
        </w:rPr>
      </w:pPr>
    </w:p>
    <w:p w:rsidR="00000000" w:rsidRDefault="00535D0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35D0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535D0F">
      <w:pPr>
        <w:ind w:left="514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535D0F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535D0F">
      <w:pPr>
        <w:ind w:left="5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535D0F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23.09.2025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13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47</w:t>
      </w:r>
    </w:p>
    <w:p w:rsidR="00000000" w:rsidRDefault="00535D0F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ru-RU"/>
        </w:rPr>
        <w:t>г. Кореновск</w:t>
      </w:r>
    </w:p>
    <w:p w:rsidR="00000000" w:rsidRDefault="00535D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 w:hint="eastAsia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1 октября 2021 года № 1242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«Об утверждении муниципальной программы муниципального образования Кореновский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муниципальный район Краснодарского края «Развитие культуры на 2022 - 2026 годы» </w:t>
      </w:r>
    </w:p>
    <w:p w:rsidR="00000000" w:rsidRDefault="00535D0F">
      <w:pPr>
        <w:widowControl/>
        <w:shd w:val="clear" w:color="auto" w:fill="FFFFFF"/>
        <w:jc w:val="center"/>
        <w:rPr>
          <w:rFonts w:hint="eastAsia"/>
          <w:color w:val="000000"/>
        </w:rPr>
      </w:pPr>
      <w:r>
        <w:rPr>
          <w:rFonts w:ascii="Times New Roman" w:eastAsia="Times New Roman" w:hAnsi="Times New Roman" w:cs="Times New Roman" w:hint="eastAsia"/>
          <w:b/>
          <w:color w:val="000000"/>
          <w:sz w:val="28"/>
          <w:szCs w:val="28"/>
          <w:highlight w:val="white"/>
        </w:rPr>
        <w:t>(с изменениями, внесенными постановлением от 14.05.2025 № 590)</w:t>
      </w:r>
    </w:p>
    <w:p w:rsidR="00000000" w:rsidRDefault="00535D0F">
      <w:pPr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образования Кореновский муниципальный район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одарского края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рая» администрация муниципального образования Кореновский район, п о с т а н о в л я е т:</w:t>
      </w:r>
    </w:p>
    <w:p w:rsidR="00000000" w:rsidRDefault="00535D0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муниципальный район Краснодарского края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униципальной программы муниципального образования Кореновский муниципальный район Краснодарского края «Развитие культуры на 2022 - 2026 годы»(с изменениями, внесенными постановлением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.05.2025 № 590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изменения, изложив приложение к постановлению в 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редакции (прилагается). </w:t>
      </w:r>
    </w:p>
    <w:p w:rsidR="00000000" w:rsidRDefault="00535D0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от </w:t>
      </w:r>
      <w:bookmarkStart w:id="1" w:name="_Hlk20942226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02.07.2025 года № 891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1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ктября 2021 года № 1242 «Об утверждении муниципальной программы муниципального образования Кореновский район «Развитие культуры на 2022-2026 годы».</w:t>
      </w:r>
    </w:p>
    <w:p w:rsidR="00000000" w:rsidRDefault="00535D0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правлению службы протокола и информационной политики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Кореновский муниципальный район Краснодарского края в информационно-телекоммуникационной сети «Интернет».</w:t>
      </w:r>
    </w:p>
    <w:p w:rsidR="00000000" w:rsidRDefault="00535D0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jc w:val="both"/>
        <w:rPr>
          <w:rFonts w:ascii="Times New Roman" w:eastAsia="Times New Roman" w:hAnsi="Times New Roman" w:cs="Times New Roman"/>
          <w:color w:val="00000A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lang w:bidi="ar-SA"/>
        </w:rPr>
        <w:t>Исполняющий обязанности г</w:t>
      </w:r>
      <w:r>
        <w:rPr>
          <w:rFonts w:ascii="Times New Roman" w:eastAsia="Times New Roman" w:hAnsi="Times New Roman" w:cs="Times New Roman"/>
          <w:color w:val="00000A"/>
          <w:sz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lang w:bidi="ar-SA"/>
        </w:rPr>
        <w:t>ы</w:t>
      </w:r>
    </w:p>
    <w:p w:rsidR="00000000" w:rsidRDefault="00535D0F">
      <w:pPr>
        <w:jc w:val="both"/>
        <w:rPr>
          <w:rFonts w:ascii="Times New Roman" w:eastAsia="Times New Roman" w:hAnsi="Times New Roman" w:cs="Times New Roman"/>
          <w:color w:val="00000A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lang w:bidi="ar-SA"/>
        </w:rPr>
        <w:t>муниципального образования</w:t>
      </w:r>
    </w:p>
    <w:p w:rsidR="00000000" w:rsidRDefault="00535D0F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lang w:bidi="ar-SA"/>
        </w:rPr>
        <w:t xml:space="preserve">Кореновский  муниципальный район                                           </w:t>
      </w:r>
    </w:p>
    <w:p w:rsidR="00000000" w:rsidRDefault="00535D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Краснодарского края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С.В. Колупайко</w:t>
      </w:r>
    </w:p>
    <w:p w:rsidR="00000000" w:rsidRDefault="00535D0F">
      <w:pPr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ind w:hanging="360"/>
        <w:jc w:val="both"/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000000" w:rsidRDefault="00535D0F">
      <w:pPr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000000" w:rsidRDefault="00535D0F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26" w:right="567" w:bottom="1134" w:left="1701" w:header="567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678"/>
        <w:gridCol w:w="4960"/>
      </w:tblGrid>
      <w:tr w:rsidR="00000000">
        <w:tc>
          <w:tcPr>
            <w:tcW w:w="4678" w:type="dxa"/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23.09.2025  № 1347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535D0F">
      <w:pPr>
        <w:widowControl/>
        <w:shd w:val="clear" w:color="auto" w:fill="FFFFFF"/>
        <w:jc w:val="both"/>
        <w:rPr>
          <w:rFonts w:hint="eastAsia"/>
          <w:color w:val="000000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gjdgxs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ального образования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bookmarkStart w:id="3" w:name="_Hlk198185939"/>
      <w:bookmarkEnd w:id="3"/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2"/>
        <w:gridCol w:w="7"/>
        <w:gridCol w:w="7029"/>
      </w:tblGrid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rPr>
          <w:trHeight w:val="5162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535D0F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535D0F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муниципальный район Краснодарского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рая;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муниципальный район Краснодарского края»;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ьтурно - массовых мероприятий в муниципальном образовании Кореновский район»;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пального образования Кореновский муниципальный район Краснодарского края;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программам в сфере культуры;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 для всех категорий потребителей, приобщение жителей муниципального образования 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культурным ценностям, обеспечение преемственности культурных традиций;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ний дополнительного образования и учреждений          культуры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расширение спектра муниципальных услуг в сфере культуры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ниципального образования Кореновский муниципальный район Краснодарского края;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и материальная поддержка особо талантливых и одаренных учащихся школ искусств;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ровня;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онных потребностей пользователей муниципальных библиотек;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 района Крас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нодарского края;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рческих коллективов учреждений культуры;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мировой культуры;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осферы для приобщения жителей муниципального образования 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культурным ценностям, обеспечение преемственности культурных традиций;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en-US" w:bidi="ar-SA"/>
              </w:rPr>
              <w:t xml:space="preserve">- поддержка добровольческих (волонтерских) и некоммерческих организаций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en-US" w:bidi="ar-SA"/>
              </w:rPr>
              <w:t>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муниципальный район Краснодар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ского края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муниципальных услуг в сфере культуры;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 присужденных обучающимся детских школ искусств стипендий, грантов различного уровня;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обучающихся в образовательных организациях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Кореновский муниципальный район Краснодарского 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ниципального образования Кореновский муниципальный район Краснодарского края;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количества предоставляемых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дополнительных услуг учреждений культуры;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образования Кореновский район Кореновский муниципальный район Краснодарского края;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азличным формам летнего оздоровления;</w:t>
            </w:r>
          </w:p>
          <w:p w:rsidR="00000000" w:rsidRDefault="00535D0F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bookmarkStart w:id="4" w:name="_30j0zll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иципальной программы  </w:t>
            </w:r>
          </w:p>
        </w:tc>
        <w:tc>
          <w:tcPr>
            <w:tcW w:w="70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648 119,7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 из средств бюджета муниципального образования Кореновский муниципальный район Краснодарского края: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 w:bidi="ar-SA"/>
              </w:rPr>
              <w:t>615 193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 w:bidi="ar-SA"/>
              </w:rPr>
              <w:t xml:space="preserve">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110 448,8 тысяч рублей,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118 492,4 тысяч рублей,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141 984,0 тысяч рублей,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159 245,7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,4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23 097,7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числе на: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17 598,0 тыс. рублей;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2 623,2 тыс. рублей;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1 084,6 тысяч рублей,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9 828,7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 — 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— 5 049,0 тыс. рублей;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— 3 898,8 тыс. рублей;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265,4 тысяч рублей,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272,5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</w:tc>
      </w:tr>
      <w:tr w:rsidR="00000000">
        <w:trPr>
          <w:jc w:val="center"/>
        </w:trPr>
        <w:tc>
          <w:tcPr>
            <w:tcW w:w="26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5" w:name="1fob9te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535D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535D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поступательного развития культуры, искусства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 55 учреждений культуры, из них: 25 клубных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9217 человек, из них 224 формирования- для детей до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творческими мероприятиями, ежегодно культурно-досуговыми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работают 185 коллективов самодеятельного народного 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и конкурсах на сценах Парижа, Москвы, Санкт-Петербурга и других городов.</w:t>
      </w:r>
    </w:p>
    <w:p w:rsidR="00000000" w:rsidRDefault="00535D0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культуры района внедрения информационных технологий с целью      более оперативного и качественного удов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летворения запросов посетителей.</w:t>
      </w:r>
    </w:p>
    <w:p w:rsidR="00000000" w:rsidRDefault="00535D0F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 бумажных носителей информации, новых коммуникационн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каналов, электронных каталогов и других.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конкурсы исполнительского мастерства,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 с целью изучения удовлетворенности населения качеством предоставляемых услуг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535D0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Кореновский муниципальный район Краснодарского края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535D0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требованиям, отсу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хранения и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маломобильных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аждан.</w:t>
      </w:r>
    </w:p>
    <w:p w:rsidR="00000000" w:rsidRDefault="00535D0F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муниципальный район Краснодарского края.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тием муниципальных учреждений отрасли «культура» муниципального образования Кореновский муниципальный район Краснодарского края;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реждений, осуществляющих деятельность по образовательным программам в сфере культуры;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муниципальных услуг в сфере культуры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535D0F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материально-технической базы учреждений дополнительного образования и учреждений культуры муниципального образования Кореновский муниципальный район Краснодарского края.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потенциала в сфере культуры и искусства;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доступности к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ьтурному продукту путем информатизации отрасли, создания электронных баз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ктивности использования ресурсов муниципальных, бюджетных учреждений культуры;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района Краснодарского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лективов учреждений культуры;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</w:r>
    </w:p>
    <w:p w:rsidR="00000000" w:rsidRDefault="00535D0F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выми показателями, характеризующими достижение целей и решение задач муниципальной программы.</w:t>
      </w:r>
    </w:p>
    <w:p w:rsidR="00000000" w:rsidRDefault="00535D0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муниципальный район Краснодарского края, осуществляемые отделом культуры администрации муниципального образования Кореновский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район Краснодарского края,  в рамках функций и полномочий,  установленных Положением об отделе культуры администрации МО Кореновский муниципальный район Краснодарского края, утвержденным Решением Совета муниципального образования Кореновский район от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2010 года № 90.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 муниципальной программы определены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социальной сферы Краснодарского края», Программы социально - экономического развития Краснодарского края до 2020 года (изменения от 05.06.2013 г.)</w:t>
      </w:r>
    </w:p>
    <w:p w:rsidR="00000000" w:rsidRDefault="00535D0F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эстетического образования и воспитания детей в муниципальном образовании Кореновский муниципальный район Краснодарского края» (направлена на создание условий для устойчивого развития организаций дополнительного образования, сохранение и развитие их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535D0F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ования Кореновский муниципальный район Краснодарского края «Кореновская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общественно - значимых культурно - массовых мероприятий в муниципальном образовании Кореновский муниципальный район Краснодарского края» (направлена на повышение качества и доступности муниципальных услуг сферы культуры для всех категорий потребителей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обеспечение развития 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 Кореновский муниципальный район Краснодарского края);</w:t>
      </w:r>
    </w:p>
    <w:p w:rsidR="00000000" w:rsidRDefault="00535D0F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отрасли «культура» муниципального образования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реновский муниципальный район Краснодарского края)</w:t>
      </w:r>
    </w:p>
    <w:p w:rsidR="00000000" w:rsidRDefault="00535D0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535D0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основных мероприятий муниципальной 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воспитания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етей в муниципальном образовании Кореновский муниципальный район Краснодарского края»,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края», «Отдельн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ые мероприятия по реализации Программы».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6" w:name="_3znysh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4"/>
        <w:gridCol w:w="1224"/>
        <w:gridCol w:w="1446"/>
        <w:gridCol w:w="909"/>
        <w:gridCol w:w="1133"/>
        <w:gridCol w:w="988"/>
        <w:gridCol w:w="872"/>
        <w:gridCol w:w="932"/>
      </w:tblGrid>
      <w:tr w:rsidR="00000000">
        <w:trPr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28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 финансирования</w:t>
            </w:r>
          </w:p>
        </w:tc>
        <w:tc>
          <w:tcPr>
            <w:tcW w:w="483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2022- 202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годы»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_Hlk19197848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648 119,7</w:t>
            </w:r>
            <w:bookmarkEnd w:id="7"/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8" w:name="_Hlk193788568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23 097,7</w:t>
            </w:r>
            <w:bookmarkEnd w:id="8"/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9 828,7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9" w:name="_Hlk191978506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615 193,3</w:t>
            </w:r>
            <w:bookmarkEnd w:id="9"/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2623,2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1 084.6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295.1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265.4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</w:pPr>
            <w:r>
              <w:rPr>
                <w:b/>
                <w:bCs/>
                <w:color w:val="000000"/>
                <w:sz w:val="20"/>
                <w:szCs w:val="20"/>
              </w:rPr>
              <w:t>272.5</w:t>
            </w:r>
          </w:p>
        </w:tc>
      </w:tr>
      <w:tr w:rsidR="00000000">
        <w:trPr>
          <w:trHeight w:val="756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141 984,0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159 245,7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85 022,4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муниципальный район Краснодарского края»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198 856,6</w:t>
            </w: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4 148,8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186 360,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1 400,1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517,8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209,8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,3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49 753,0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108 315,7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3 368,9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1 481,8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103 465,0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874,8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</w:tr>
      <w:tr w:rsidR="00000000">
        <w:trPr>
          <w:trHeight w:val="706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265,4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272,5</w:t>
            </w:r>
          </w:p>
        </w:tc>
      </w:tr>
      <w:tr w:rsidR="00000000">
        <w:trPr>
          <w:trHeight w:val="703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24 224,1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27 486,6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15 317,0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332 787,6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535D0F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</w:p>
          <w:p w:rsidR="00000000" w:rsidRDefault="00535D0F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317 207,6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78 411,8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80 682,3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1 323,8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1 683,8</w:t>
            </w:r>
          </w:p>
        </w:tc>
      </w:tr>
      <w:tr w:rsidR="00000000">
        <w:trPr>
          <w:trHeight w:val="270"/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535D0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муниципальный район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раснодарского края № 1921 от 2 ноября 2023 года.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ходе ее реализации и об оценке эффективности.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Текущее управление ходом реализации муниципальной программы и контроль за ее выполнением осуществляет отдел культуры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муниципальный район Краснодарского края, который: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и перечень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 изменений в муниципальную программу;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ний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 и оценке эффективности её реализации (далее — доклад о ходе реализации муниципальной программы);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ествляет иные полномочия, установленные муниципальной программой.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мероприятий. 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межпоселенческая центральная районная библиотека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Кореновский район информацию об исполнении мероприя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тий муниципальной программы в следующие сроки: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777" w:right="567" w:bottom="56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Д.В. Мартыненко</w:t>
      </w: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КАЗАТЕЛИ МУНИЦИПАЛЬНОЙ 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yjcwt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муниципальный район Краснодарского края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1"/>
        <w:gridCol w:w="6663"/>
        <w:gridCol w:w="993"/>
        <w:gridCol w:w="849"/>
        <w:gridCol w:w="1134"/>
        <w:gridCol w:w="1134"/>
        <w:gridCol w:w="1134"/>
        <w:gridCol w:w="1135"/>
        <w:gridCol w:w="1088"/>
      </w:tblGrid>
      <w:tr w:rsidR="00000000">
        <w:trPr>
          <w:jc w:val="center"/>
        </w:trPr>
        <w:tc>
          <w:tcPr>
            <w:tcW w:w="69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ципальных услуг в сфере культуры;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color w:val="000000"/>
              </w:rPr>
              <w:t>96,6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муниципальном образовании Кореновский муниципальный район Крснодарского края» муниципальной программ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ы муниципального образования Кореновский муниципальный район Краснодарского края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удостоенных стипендий, премий, грантов различного уровня;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муниципального района Краснодарского кррая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ного образования Кореновский муниципальный район Краснодарского края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мероприятиях, в общем числе детей;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муниципальный район Краснодарского края;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535D0F">
      <w:pPr>
        <w:widowControl/>
        <w:shd w:val="clear" w:color="auto" w:fill="FFFFFF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              Д.В. Мартыненко</w:t>
      </w:r>
    </w:p>
    <w:p w:rsidR="00000000" w:rsidRDefault="00535D0F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00000" w:rsidRDefault="00535D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sectPr w:rsidR="00000000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776" w:bottom="567" w:left="567" w:header="720" w:footer="720" w:gutter="0"/>
          <w:cols w:space="720"/>
          <w:titlePg/>
          <w:docGrid w:linePitch="326" w:charSpace="-7373"/>
        </w:sectPr>
      </w:pPr>
    </w:p>
    <w:p w:rsidR="00000000" w:rsidRDefault="00535D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393"/>
        <w:gridCol w:w="5245"/>
      </w:tblGrid>
      <w:tr w:rsidR="00000000">
        <w:tc>
          <w:tcPr>
            <w:tcW w:w="4393" w:type="dxa"/>
            <w:shd w:val="clear" w:color="auto" w:fill="auto"/>
          </w:tcPr>
          <w:p w:rsidR="00000000" w:rsidRDefault="00535D0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shd w:val="clear" w:color="auto" w:fill="auto"/>
          </w:tcPr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535D0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ммы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535D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1" w:name="3dy6vkm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535D0F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400"/>
        <w:gridCol w:w="5089"/>
        <w:gridCol w:w="23"/>
      </w:tblGrid>
      <w:tr w:rsidR="00000000">
        <w:tc>
          <w:tcPr>
            <w:tcW w:w="9615" w:type="dxa"/>
            <w:gridSpan w:val="3"/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35D0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35D0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535D0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образовании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кий муниципальный район Краснодарского края» </w:t>
            </w:r>
          </w:p>
          <w:p w:rsidR="00000000" w:rsidRDefault="00535D0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муниципальный район Краснодарского края</w:t>
            </w:r>
          </w:p>
          <w:p w:rsidR="00000000" w:rsidRDefault="00535D0F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образования Кореновский район</w:t>
            </w:r>
          </w:p>
        </w:tc>
      </w:tr>
      <w:tr w:rsidR="00000000"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5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благоприятных условий для эстетического воспитания и художественного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 посредством поддержки и развития учреждений, осуществляющих деятельность по образовательным программам в сфере культуры</w:t>
            </w:r>
          </w:p>
        </w:tc>
      </w:tr>
      <w:tr w:rsidR="00000000">
        <w:tc>
          <w:tcPr>
            <w:tcW w:w="21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7512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благоприятных условий  для повышения качества услуг, предоставляемых учреждениями дополнительного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бразования детей, укрепление материально-технической базы школ искусств;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создание условий для развития творческих способностей, социализации детей, предоставление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535D0F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благоприятных условий для привлечения, развит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 и сохранения кадрового потенциала в сфере культуры и искусства</w:t>
            </w:r>
          </w:p>
        </w:tc>
      </w:tr>
      <w:tr w:rsidR="00000000">
        <w:trPr>
          <w:trHeight w:val="113"/>
        </w:trPr>
        <w:tc>
          <w:tcPr>
            <w:tcW w:w="9615" w:type="dxa"/>
            <w:gridSpan w:val="3"/>
            <w:shd w:val="clear" w:color="auto" w:fill="FFFFFF"/>
          </w:tcPr>
          <w:p w:rsidR="00000000" w:rsidRDefault="00535D0F">
            <w:pPr>
              <w:snapToGrid w:val="0"/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535D0F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рофессиональной подготовки;</w:t>
            </w: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нных, обучающимся детских школ искусств стипендий, грантов различного уровня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rPr>
          <w:trHeight w:val="620"/>
        </w:trPr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535D0F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 856.6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за счет средств бюджета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186 360,9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– 32 694,2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35 734,3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37 818,3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49 753,0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30 361,1 тысяч рублей.</w:t>
            </w:r>
          </w:p>
          <w:p w:rsidR="00000000" w:rsidRDefault="00535D0F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535D0F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4 148,8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яч рублей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1 802,9 тысяч рублей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— 517,8 тысяч рублей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— 218.2 тысяч рублей 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8 346,9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— 0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4 712,0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11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535D0F">
      <w:pPr>
        <w:widowControl/>
        <w:shd w:val="clear" w:color="auto" w:fill="FFFFFF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2" w:name="1t3h5sf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стика текущего состояния и прогноз развития соответствующей сферы реализации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Подпрограмма «Развитие художественно - эстетического образования и воспитания детей в муниципальном образовании Кореновский муниципальный район Краснодарского края»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разработана во исполнение Федерального Закона от 29 декабря 2012 года № 273 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Арт-концепция развития художественного образования в Краснодарском крае, которая и является программным документом для 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бюджетных учреждений дополнительного образования.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системе дополнительного образования отрасли «культура» муниципального образования Кореновский муниципальный район Краснодарского края функционируют 2 детских школы искусств: детская школа искусств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Кореновска, детская школа искусств ст. Платнировской. Преподавательский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стетическим образованием и воспитанием в районе составляет 10,3 %, (что ниже средне краевого показателя 14,2 %).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Сфера деятельности учреждений дополнительного образования (детских школ искусств) включает многообразные формы обучения различным видам искусст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включает мероприятия, направленные на создание условий для разностороннего развития личности обучающихся, поддержку одаренных учащихся школ искусств. Достижения творческих коллективов и отдельных учащихся школ известны как в районе, так и за пределами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края. В   международных, всероссийских, краевых фестивалях-конкурсах, смотрах: «Мир Кавказу», «Планета искусств», «Верь в свою звезду» и др.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нная забота о будущем отрасли. Одним из пунктов подпрограммы является помощь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тей в районных, краевых и российских фестивалях и конкурсах.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истов не превышает 10 % от общего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облемных вопросов в деятельности учреждений дополнительного образования детей муниципального образования Кореновский муниципальный район Краснодарского края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3" w:name="4d34og8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ная цель подпрограммы 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 цели необходимо решить следующие основные задачи: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благоприятных условий для повышения качества услуг, предоставляемых учреждениями дополнительного образования детей, укрепление материально-технической базы школ искусств;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атериальная поддержка особо талантливых и одаренных учащихся школ искусств;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регулярные занятия творчеством, воспитания подрастающего поколения в духе культурных традиций России и Кубани;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Подпрограммы: 2022-2026 годы.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оприятий муниципальной программы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муниципальном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вании Кореновский муниципальный район Краснодарского края».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2"/>
        <w:gridCol w:w="1241"/>
        <w:gridCol w:w="1351"/>
        <w:gridCol w:w="1000"/>
        <w:gridCol w:w="1000"/>
        <w:gridCol w:w="1001"/>
        <w:gridCol w:w="999"/>
        <w:gridCol w:w="1004"/>
      </w:tblGrid>
      <w:tr w:rsidR="00000000">
        <w:trPr>
          <w:jc w:val="center"/>
        </w:trPr>
        <w:tc>
          <w:tcPr>
            <w:tcW w:w="20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355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00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0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муниципальный  район Краснодарского края»</w:t>
            </w:r>
          </w:p>
        </w:tc>
        <w:tc>
          <w:tcPr>
            <w:tcW w:w="12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198 856,6</w:t>
            </w: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4 148,8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</w:rPr>
              <w:t>6 360,9</w:t>
            </w: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1 400,1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209,8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49 753,0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535D0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535D0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азвитие культуры» (с изменениями от 15.03.2021 г. № 125)</w:t>
      </w:r>
    </w:p>
    <w:p w:rsidR="00000000" w:rsidRDefault="00535D0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муниципальной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535D0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программы, её согласование с соисполнителями,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нацию деятельности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ежегодно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проводит оценку эффективности реализации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Краснодарского края, отчет об объемах и источниках финансирования программы в разрезе мероприятий. 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на бумажных и электронных носителях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Платнировской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Кореновский район, которые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зованных денежных средств, оценку эффективности и результативности реализации подпрограммы.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 сводную информацию о реализации программных мероприятий в установленные сроки.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535D0F">
      <w:pPr>
        <w:widowControl/>
        <w:shd w:val="clear" w:color="auto" w:fill="FFFFFF"/>
        <w:rPr>
          <w:rFonts w:hint="eastAsia"/>
          <w:color w:val="000000"/>
        </w:rPr>
        <w:sectPr w:rsidR="00000000">
          <w:headerReference w:type="even" r:id="rId17"/>
          <w:headerReference w:type="default" r:id="rId18"/>
          <w:headerReference w:type="first" r:id="rId19"/>
          <w:pgSz w:w="11906" w:h="16838"/>
          <w:pgMar w:top="777" w:right="567" w:bottom="56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  <w:t xml:space="preserve">Краснодарского края                     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Д.В. Мартыненко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7"/>
        <w:gridCol w:w="2873"/>
      </w:tblGrid>
      <w:tr w:rsidR="00000000">
        <w:tc>
          <w:tcPr>
            <w:tcW w:w="11697" w:type="dxa"/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73" w:type="dxa"/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535D0F">
      <w:pPr>
        <w:widowControl/>
        <w:shd w:val="clear" w:color="auto" w:fill="FFFFFF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jc w:val="center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образовании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края»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муниципальный район Краснодарского края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0"/>
        <w:gridCol w:w="7616"/>
        <w:gridCol w:w="1116"/>
        <w:gridCol w:w="835"/>
        <w:gridCol w:w="880"/>
        <w:gridCol w:w="883"/>
        <w:gridCol w:w="875"/>
        <w:gridCol w:w="881"/>
        <w:gridCol w:w="894"/>
      </w:tblGrid>
      <w:tr w:rsidR="00000000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76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8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олнительного образования, имеющих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8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61,6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</w:tr>
    </w:tbl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535D0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края                                                                                                                                           Д.В. Мартыненко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535D0F">
            <w:pPr>
              <w:pageBreakBefore/>
              <w:shd w:val="clear" w:color="auto" w:fill="FFFFFF"/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                                                                        </w:t>
            </w:r>
          </w:p>
        </w:tc>
        <w:tc>
          <w:tcPr>
            <w:tcW w:w="2939" w:type="dxa"/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РЕЧЕНЬ ОСНОВНЫХ МЕРОПРИЯТИЙ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художественно - эстетического образования и воспитания детей в муниципальном образовании Кореновский муниципальный район Краснодарского края» муниципальной программы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район Краснодарского края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535D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6"/>
        <w:gridCol w:w="1411"/>
        <w:gridCol w:w="421"/>
        <w:gridCol w:w="1277"/>
        <w:gridCol w:w="1281"/>
        <w:gridCol w:w="24"/>
        <w:gridCol w:w="1025"/>
        <w:gridCol w:w="84"/>
        <w:gridCol w:w="26"/>
        <w:gridCol w:w="939"/>
        <w:gridCol w:w="28"/>
        <w:gridCol w:w="24"/>
        <w:gridCol w:w="996"/>
        <w:gridCol w:w="114"/>
        <w:gridCol w:w="25"/>
        <w:gridCol w:w="912"/>
        <w:gridCol w:w="56"/>
        <w:gridCol w:w="24"/>
        <w:gridCol w:w="978"/>
        <w:gridCol w:w="994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181 860,1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hint="eastAsia"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49 275,5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г.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муниципальный район Краснодарского кая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181 860,1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49 275,5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1 323,9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1 323,9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риятных условий для эстетического воспитания и художественного образования,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муниципальные бюджетные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муниципальные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арского края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вания Кореновский муниципальный район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Краснодарского края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.3.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конкурсах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</w:t>
            </w:r>
            <w:bookmarkStart w:id="14" w:name="_Hlk1981883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 район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раснодарского края</w:t>
            </w:r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ст. Платнировской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местнос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ти 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shd w:val="clear" w:color="auto" w:fill="FFFFFF"/>
              </w:rPr>
              <w:t>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 район Краснодарского края;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 район 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дарского края,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777" w:right="567" w:bottom="77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Д.В. Мартыненко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535D0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витие культуры на 2022-2026 годы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8"/>
        <w:gridCol w:w="41"/>
        <w:gridCol w:w="30"/>
      </w:tblGrid>
      <w:tr w:rsidR="00000000">
        <w:tc>
          <w:tcPr>
            <w:tcW w:w="10108" w:type="dxa"/>
            <w:gridSpan w:val="2"/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ьного образования Кореновский муниципальный  район Краснодарского края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535D0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" w:type="dxa"/>
            <w:shd w:val="clear" w:color="auto" w:fill="auto"/>
          </w:tcPr>
          <w:p w:rsidR="00000000" w:rsidRDefault="00535D0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535D0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ки 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муниципальный  район Краснодарского края, муниципальное бюджетное учреждение культуры муниципального образования Кореновский район «Кореновская межпоселенческая центральна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я районная библиотека»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улучшение качества услуг, предоста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вляемых муниципальными библиотеками;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тек;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еления Кореновского района;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ниципальных библиотек муниципального образования Кореновский район;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</w:rPr>
            </w:pP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15" w:name="_26in1rg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108 315,7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ысяч рублей,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числе: 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103 465,0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– 18 324,0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 18 113,3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– 24 224,1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27 486,6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- 15 317,0 тысяч рублей.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3 368,9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96,7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795,1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874,8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76,9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сяч рублей.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1481.8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 на: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343,0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337,0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265.4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тысяч рублей;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— 272.5 тысяч рублей. 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Контроль за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муниципальный  район Краснодарского края</w:t>
            </w:r>
          </w:p>
        </w:tc>
      </w:tr>
    </w:tbl>
    <w:p w:rsidR="00000000" w:rsidRDefault="00535D0F">
      <w:pPr>
        <w:widowControl/>
        <w:shd w:val="clear" w:color="auto" w:fill="FFFFFF"/>
        <w:jc w:val="center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lnxbz9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195 тысяч экземпляров. Ежегодно муниципальными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влетворить актуальные запросы читателей.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высить оперативность и качество информационного обслуживания населения Кореновского муниципального района Краснодарского края, в том числе по предоставлению муниципальных услуг в электронном виде.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муниципальных библиотек в настоящее время самой острой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проблемой остаётся сохранение и пополнение библиотечных фондов книгами и периодическими изданиями.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населения.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емени.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35nkun2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устойчивое развитие библиотечного обслуживания населения межпоселенческими библиотеками, комплектование и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сохранн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их библиотечных фондов.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льзователей муниципальных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ртной среды для привлечения большего количества пользователей библиотек;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535D0F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35D0F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8" w:name="_1ksv4uv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6"/>
        <w:gridCol w:w="1292"/>
        <w:gridCol w:w="1366"/>
        <w:gridCol w:w="990"/>
        <w:gridCol w:w="1118"/>
        <w:gridCol w:w="991"/>
        <w:gridCol w:w="945"/>
        <w:gridCol w:w="986"/>
        <w:gridCol w:w="243"/>
      </w:tblGrid>
      <w:tr w:rsidR="00000000">
        <w:trPr>
          <w:trHeight w:val="262"/>
        </w:trPr>
        <w:tc>
          <w:tcPr>
            <w:tcW w:w="20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ем финансирования,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639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trHeight w:val="273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0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  <w:tc>
          <w:tcPr>
            <w:tcW w:w="24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1414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24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563"/>
        </w:trPr>
        <w:tc>
          <w:tcPr>
            <w:tcW w:w="20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108 315,7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3 368,9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1481,8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103 465,0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874,8</w:t>
            </w:r>
          </w:p>
        </w:tc>
        <w:tc>
          <w:tcPr>
            <w:tcW w:w="9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76.9</w:t>
            </w:r>
          </w:p>
        </w:tc>
        <w:tc>
          <w:tcPr>
            <w:tcW w:w="24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850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265,4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272,5</w:t>
            </w:r>
          </w:p>
        </w:tc>
        <w:tc>
          <w:tcPr>
            <w:tcW w:w="24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1023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24 224,1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27 486,6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15 317,0</w:t>
            </w:r>
          </w:p>
        </w:tc>
        <w:tc>
          <w:tcPr>
            <w:tcW w:w="24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1255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243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</w:tbl>
    <w:p w:rsidR="00000000" w:rsidRDefault="00535D0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535D0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Кореновский муниципальный  район Краснодарского края № 1921 от 2 ноября 2023 года.</w:t>
      </w:r>
    </w:p>
    <w:p w:rsidR="00000000" w:rsidRDefault="00535D0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исполнителя муниципальной программы о ходе ее реализации и об оценке эффективности.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рмирует структуру муниципальной программы и перечень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сении в установленном порядке изменений в муниципальную программу;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на основании предложений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ивает сроки их предоставления;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целей и задач муниципальной программы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 район Краснодарского края, отчет об объемах и источниках финансирования программы в разрезе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риятий. 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ниципальный район Краснодарского края информацию об исполнении мероприятий подпрограммы в следующие сроки: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мероприятий;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тий в установленные сроки.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отдела культуры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981" w:right="567" w:bottom="1134" w:left="1701" w:header="567" w:footer="720" w:gutter="0"/>
          <w:cols w:space="720"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Краснодарского края                                                                          Д.В. Мар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тыненко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муниципального образования Кореновский район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4"/>
        <w:gridCol w:w="6172"/>
        <w:gridCol w:w="1254"/>
        <w:gridCol w:w="975"/>
        <w:gridCol w:w="1158"/>
        <w:gridCol w:w="1156"/>
        <w:gridCol w:w="1157"/>
        <w:gridCol w:w="1131"/>
        <w:gridCol w:w="1214"/>
      </w:tblGrid>
      <w:tr w:rsidR="00000000">
        <w:tc>
          <w:tcPr>
            <w:tcW w:w="6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61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отечным обслуживанием населения Кореновский муниципальный район Краснодарского края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муниципальный район Краснодарского края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535D0F">
      <w:pPr>
        <w:shd w:val="clear" w:color="auto" w:fill="FFFFFF"/>
        <w:rPr>
          <w:rFonts w:hint="eastAsia"/>
          <w:color w:val="000000"/>
        </w:rPr>
      </w:pPr>
    </w:p>
    <w:p w:rsidR="00000000" w:rsidRDefault="00535D0F">
      <w:pPr>
        <w:shd w:val="clear" w:color="auto" w:fill="FFFFFF"/>
        <w:rPr>
          <w:rFonts w:hint="eastAsia"/>
          <w:color w:val="000000"/>
        </w:rPr>
      </w:pPr>
    </w:p>
    <w:p w:rsidR="00000000" w:rsidRDefault="00535D0F">
      <w:pPr>
        <w:shd w:val="clear" w:color="auto" w:fill="FFFFFF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Д.В. Мартыненко</w:t>
      </w: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Кореновский район «Кореновская межпоселенческая центральная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айонная библиотека»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30"/>
        <w:gridCol w:w="383"/>
        <w:gridCol w:w="1587"/>
        <w:gridCol w:w="992"/>
        <w:gridCol w:w="1002"/>
        <w:gridCol w:w="956"/>
        <w:gridCol w:w="877"/>
        <w:gridCol w:w="994"/>
        <w:gridCol w:w="991"/>
        <w:gridCol w:w="1134"/>
        <w:gridCol w:w="1699"/>
        <w:gridCol w:w="2066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9" w:name="_Hlk1933541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Финансовое обеспечение выполнения муниципального задания МБУК МО Кореновский район </w:t>
            </w:r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«Кореновская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101 897,4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27 027,9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</w:t>
            </w:r>
            <w:bookmarkStart w:id="20" w:name="_Hlk1981886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</w:t>
            </w:r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олучатель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101 897,4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27 027,9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1" w:name="_44sinio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Комплектование библиотечных фондов,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 числе: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535D0F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3155.7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693,8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740,8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  <w:p w:rsidR="00000000" w:rsidRDefault="00535D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417.9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1 481,8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265.4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272.5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1 256,0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доступности к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урному продукту путем информатизации отрасли, создания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муниципальный район Краснодарского края, получатель средств — 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иципальное бюджетное учреждение культуры 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bookmarkStart w:id="22" w:name="_Hlk1937838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местного значенияМБУК МО Кореновский район «Кореновская межпоселенческая центральная районная библиотека</w:t>
            </w:r>
            <w:bookmarkEnd w:id="22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</w:pPr>
            <w:bookmarkStart w:id="23" w:name="_Hlk1937839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иотек</w:t>
            </w:r>
            <w:bookmarkEnd w:id="23"/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отдела культуры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админис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трации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4" w:right="567" w:bottom="777" w:left="1701" w:header="720" w:footer="720" w:gutter="0"/>
          <w:pgNumType w:start="41"/>
          <w:cols w:space="720"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Краснодарского края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535D0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№ 3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535D0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985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образовании Кореновский муниципальный район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Краснодарского края» 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ования Кореновский муниципальный район Краснодарского края</w:t>
            </w:r>
          </w:p>
          <w:p w:rsidR="00000000" w:rsidRDefault="00535D0F">
            <w:pPr>
              <w:widowControl/>
              <w:shd w:val="clear" w:color="auto" w:fill="FFFFFF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693"/>
        </w:trPr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края, 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Цели подпрограммы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ние преемственности культурных традиций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Задачи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- создание условий для реализации творческой самореализации жителей МО Кореновский муниципальный район Краснодарского края;  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- вовлечение населения Кореновского района в создание и продвижение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культурного продукта;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формирование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улучш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активизация механизмов муниципальной поддержки деятельности культурно - 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суговых учреждений, привлечение внимания общественности и средств массовой информации к проблемам культуры;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увеличение числа участников в клубных формированиях;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-дальнейшее развитие коллективов самодеятельного народного творчества, повышение качества и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асширение спектра муниципальных услуг в сфере культуры;</w:t>
            </w:r>
          </w:p>
          <w:p w:rsidR="00000000" w:rsidRDefault="00535D0F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повышение социальной активности жителей Кореновского муниципального района Краснодарского края, вовлечение населения в процесс создания культурного продукта и формирования комфортной среды жизнедеят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ельности населенных пунктов района</w:t>
            </w:r>
            <w:bookmarkStart w:id="24" w:name="_Hlk201308909"/>
            <w:bookmarkEnd w:id="24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;</w:t>
            </w:r>
          </w:p>
          <w:p w:rsidR="00000000" w:rsidRDefault="00535D0F"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ателей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- повышение эффективности использования ресурсов муниципальных бюджетных учреждений культуры;</w:t>
            </w:r>
          </w:p>
          <w:p w:rsidR="00000000" w:rsidRDefault="00535D0F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реновского муниципального района Краснодарского края;  </w:t>
            </w:r>
          </w:p>
          <w:p w:rsidR="00000000" w:rsidRDefault="00535D0F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поддержка, развитие   творческих   способностей   даренных детей, организация отдыха и оздоровления одаренных детей в летний период;</w:t>
            </w:r>
          </w:p>
          <w:p w:rsidR="00000000" w:rsidRDefault="00535D0F">
            <w:pPr>
              <w:widowControl/>
              <w:shd w:val="clear" w:color="auto" w:fill="FFFFFF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      </w:r>
          </w:p>
          <w:p w:rsidR="00000000" w:rsidRDefault="00535D0F">
            <w:pPr>
              <w:widowControl/>
              <w:shd w:val="clear" w:color="auto" w:fill="FFFFFF"/>
              <w:ind w:firstLine="70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азования Кореновский муниципальный район Краснодарского края за счет притока квалифицированных кадров.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535D0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332 787,6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35D0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 - из средств бюджета МО 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00000" w:rsidRDefault="00535D0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317 207,6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57 653,1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62 799,9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78 411,8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80 682,3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рублей; 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37 660,5 тысяч рублей.</w:t>
            </w:r>
          </w:p>
          <w:p w:rsidR="00000000" w:rsidRDefault="00535D0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535D0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2023 год - 15 000,0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535D0F">
            <w:pPr>
              <w:shd w:val="clear" w:color="auto" w:fill="FFFFFF"/>
              <w:jc w:val="both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5" w:name="2jxsxqh"/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щей сферы реализации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район» разработана в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одарского края от 28 июня 2007 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проблем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муниципальный район Краснодарского края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ется деятельность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оприятиях художественно-творческого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ыше 10,5 тысяч различных мероприятий.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 -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убных учреждений с 4,9 % до 5,1 %. По мере ежегодного увеличения объема услуг культуры, потребляемых населением Кореновского муниципального района Краснодарского края, все большее значение приобретает качество предоставляемых муниципальных услуг.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 время Кореновский муниципальный район Краснодарского края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486 человек, влюбленных в свою профессию.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иятных условий для организации культурно-массовых мероприятий, культурного досуга и отдыха жителей муниципального образования Кореновский муниципальный район Краснодарского края, развития местного традиционного художественного творчества с учетом потребнос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Федерации от 7 мая 2012 года № 597 «О мероприятиях по реализации государственной социальной политики».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культуры района будет направлено на сохране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  культурного наследия, активизацию   народного    творчества,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муниципального района Краснодарского края.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рмирование благоприятной общественной атмосферы, поддержка и дальнейшее развитие культуры района, а также: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-повышение эффективности использования ресурсов муниципальных бюджетных учреждений культуры;</w:t>
      </w:r>
    </w:p>
    <w:p w:rsidR="00000000" w:rsidRDefault="00535D0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сохранение и развитие традиционной народной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культуры, ремесленной деятельности, пропаганда лучших образцов народной культуры Кореновского муниципального района Краснодарского края;  </w:t>
      </w:r>
    </w:p>
    <w:p w:rsidR="00000000" w:rsidRDefault="00535D0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детей в летний период;</w:t>
      </w:r>
    </w:p>
    <w:p w:rsidR="00000000" w:rsidRDefault="00535D0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условий для реализации творческой самореализации жителей МО Кореновский муниципальный район Краснодарского края;  </w:t>
      </w:r>
    </w:p>
    <w:p w:rsidR="00000000" w:rsidRDefault="00535D0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населения Кореновского района в создание и продвижение культурного продукта;</w:t>
      </w:r>
    </w:p>
    <w:p w:rsidR="00000000" w:rsidRDefault="00535D0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ддержки деятельности культурно 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творчества, повышение качества и расширение спектра муниципальных услуг в сфере культуры;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ифицированных кадров;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муниципального района Краснодарского края, вовлечение населения в процесс создания культурного продукта и формирования комфортной среды жизнедеятельности населенных пунктов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льзования бюджетных ресурсов и лучшую связь их объемов с достижением планируемых результатов.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ипальных услуг в сфере культуры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Для достижения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указанной цели необходимо решить следующие основные задачи:</w:t>
      </w:r>
    </w:p>
    <w:p w:rsidR="00000000" w:rsidRDefault="00535D0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535D0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сохранение и развитие традиционной народной культуры, ремесленной деятельности, пропа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ганда лучших образцов народной культуры Кореновского муниципального района Краснодарского края;  </w:t>
      </w:r>
    </w:p>
    <w:p w:rsidR="00000000" w:rsidRDefault="00535D0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en-US" w:bidi="ar-SA"/>
        </w:rPr>
        <w:t>ре культуры, в том числе по реализации социокультурных проектов, в сельской местности</w:t>
      </w:r>
    </w:p>
    <w:p w:rsidR="00000000" w:rsidRDefault="00535D0F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края».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7"/>
        <w:gridCol w:w="1924"/>
        <w:gridCol w:w="1033"/>
        <w:gridCol w:w="1035"/>
        <w:gridCol w:w="973"/>
        <w:gridCol w:w="1099"/>
        <w:gridCol w:w="1072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6" w:name="_Hlk19154436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332 787,6</w:t>
            </w:r>
            <w:bookmarkEnd w:id="26"/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535D0F">
            <w:pPr>
              <w:widowControl/>
              <w:suppressAutoHyphens w:val="0"/>
              <w:ind w:left="-57" w:right="-57"/>
              <w:jc w:val="center"/>
              <w:rPr>
                <w:rFonts w:hint="eastAsia"/>
                <w:color w:val="000000"/>
              </w:rPr>
            </w:pPr>
          </w:p>
          <w:p w:rsidR="00000000" w:rsidRDefault="00535D0F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7 207,6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80 682,3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535D0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нениями от 15.03.2021 г. № 125)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535D0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гласование с соисполнителями,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соисполнителей и участников муниципальной программы, необходимые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мониторинга реализации муниципальной программы, устанавливает сроки их предоставления;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реализации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ансирования программы в разрезе мероприятий. 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ителем мероприятий Подпрограммы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Кореновский район информацию об исполнении мероприятий подпрограммы в следующие сроки: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ероприятий;</w:t>
      </w:r>
    </w:p>
    <w:p w:rsidR="00000000" w:rsidRDefault="00535D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установленные сроки.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981" w:right="567" w:bottom="1134" w:left="1701" w:header="567" w:footer="720" w:gutter="0"/>
          <w:cols w:space="720"/>
          <w:docGrid w:linePitch="240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Д.В. Мартыненко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пальном образовании Кореновский муниципальный район Краснодарского края» муниципальной программы муниципального образования Кореновский муниципальный район Краснодарского края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2"/>
        <w:gridCol w:w="5386"/>
        <w:gridCol w:w="1277"/>
        <w:gridCol w:w="992"/>
        <w:gridCol w:w="1337"/>
        <w:gridCol w:w="1339"/>
        <w:gridCol w:w="1339"/>
        <w:gridCol w:w="1338"/>
        <w:gridCol w:w="1378"/>
      </w:tblGrid>
      <w:tr w:rsidR="00000000">
        <w:tc>
          <w:tcPr>
            <w:tcW w:w="6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6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ачимых культурно - массовых мероприятий в муниципальном образовании Кореновский муниципальный район Краснодарского края»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доли детей, привлекаемых к участию в творческих мероприятиях, в общем числе детей;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муниципальный район Краснодарского края;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535D0F">
      <w:pPr>
        <w:shd w:val="clear" w:color="auto" w:fill="FFFFFF"/>
        <w:rPr>
          <w:rFonts w:hint="eastAsia"/>
          <w:color w:val="000000"/>
        </w:rPr>
      </w:pPr>
    </w:p>
    <w:p w:rsidR="00000000" w:rsidRDefault="00535D0F">
      <w:pPr>
        <w:shd w:val="clear" w:color="auto" w:fill="FFFFFF"/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000000" w:rsidRDefault="00535D0F">
      <w:pPr>
        <w:shd w:val="clear" w:color="auto" w:fill="FFFFFF"/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начальника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40"/>
        <w:gridCol w:w="3290"/>
      </w:tblGrid>
      <w:tr w:rsidR="00000000">
        <w:tc>
          <w:tcPr>
            <w:tcW w:w="11340" w:type="dxa"/>
            <w:shd w:val="clear" w:color="auto" w:fill="FFFFFF"/>
          </w:tcPr>
          <w:p w:rsidR="00000000" w:rsidRDefault="00535D0F">
            <w:pPr>
              <w:pageBreakBefore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ниципальный район Краснодарского края» муниципальной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нансирования,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ых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азования Кореновский муниципальный район Краснодарского края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7" w:name="_3j2qqm3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совое обеспечение выполнения муниципального задания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bookmarkStart w:id="28" w:name="_Hlk2012155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  <w:bookmarkEnd w:id="28"/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281 179,8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70 633,1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края,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тв-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  <w:bookmarkStart w:id="29" w:name="_Hlk191981259"/>
            <w:bookmarkEnd w:id="29"/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281 179,8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70 633,1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района Краснодарского края.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0" w:name="_Hlk2012156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  <w:bookmarkEnd w:id="30"/>
          </w:p>
          <w:p w:rsidR="00000000" w:rsidRDefault="00535D0F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1" w:name="_Hlk2012157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  <w:bookmarkEnd w:id="31"/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2" w:name="_Hlk2012157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</w:t>
            </w:r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Смотр творческих коллективов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1 554,2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713.6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получатель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1 554,2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napToGrid w:val="0"/>
              <w:jc w:val="center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дарского края получатель средств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образования Кореновский муниципальный район Краснодарского края получатель средств-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3" w:name="_1y810tw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5 899,2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получатель средств-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5 899,2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оектов, в сельской местности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ания Кореновский муниципальный район Краснодарского края получатель средств-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 муниципальный район Краснодарс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кого края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 получатель средств-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bookmarkStart w:id="34" w:name="_Hlk2012160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</w:t>
            </w:r>
            <w:bookmarkEnd w:id="34"/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ческой базы, технического оснащения,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5" w:name="_Hlk2012160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  <w:bookmarkEnd w:id="35"/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29 372,8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2 000,0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(получатель средств-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новский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13 792,8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2 000,0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535D0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Обучение по 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профессионального уровня работников районно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получатель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35D0F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35D0F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35D0F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35D0F">
      <w:pPr>
        <w:widowControl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новский муниципальный район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693" w:right="1134" w:bottom="1134" w:left="1134" w:header="1134" w:footer="720" w:gutter="0"/>
          <w:pgNumType w:start="55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Д.В. Мартыненко</w:t>
      </w:r>
    </w:p>
    <w:p w:rsidR="00000000" w:rsidRDefault="00535D0F">
      <w:pPr>
        <w:shd w:val="clear" w:color="auto" w:fill="FFFFFF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535D0F">
      <w:pPr>
        <w:shd w:val="clear" w:color="auto" w:fill="FFFFFF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535D0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образования</w:t>
      </w:r>
    </w:p>
    <w:p w:rsidR="00000000" w:rsidRDefault="00535D0F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535D0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535D0F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535D0F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35D0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6956"/>
        <w:gridCol w:w="644"/>
        <w:gridCol w:w="23"/>
      </w:tblGrid>
      <w:tr w:rsidR="00000000">
        <w:tc>
          <w:tcPr>
            <w:tcW w:w="9919" w:type="dxa"/>
            <w:gridSpan w:val="3"/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bookmarkStart w:id="36" w:name="_Hlk201216209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 муниципальной программы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 Краснодарского края</w:t>
            </w:r>
            <w:bookmarkEnd w:id="36"/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535D0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район Краснодарского края;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овский муниципальный район Краснодарского края качеством предоставления муниципальных услуг в сфере культуры;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</w:t>
            </w:r>
            <w:bookmarkStart w:id="37" w:name="_Hlk20121625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8 159,8 </w:t>
            </w:r>
            <w:bookmarkEnd w:id="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535D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8 159,8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535D0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1 777,5 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1529,8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-  1 323,8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535D0F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-  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535D0F">
            <w:pPr>
              <w:snapToGrid w:val="0"/>
              <w:rPr>
                <w:rFonts w:hint="eastAsia"/>
                <w:color w:val="000000"/>
              </w:rPr>
            </w:pPr>
          </w:p>
        </w:tc>
      </w:tr>
    </w:tbl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состояния и прогноз развития соответствующей сферы реализации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8" w:name="4i7ojhp"/>
      <w:bookmarkEnd w:id="38"/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молодых дарований - являются ключевыми задачами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политики в сфере культуры.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муниципального района Краснодарского края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приятий, более 40 смотров-конкурсов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коллектив».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муниципального района Краснодарского края библиотечным обслуживанием составляет 47,3 %, что значительно выше среднекраевого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еля (33,2%).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535D0F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муниципальном районе Краснодарского края - 36 учащихся школ искусств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муниципального района Краснодарского края достойно представляют   Краснодарск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535D0F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администрации муниципального образования Кореновский район утвержден план мероприятий («дорожная карта»), изменения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отраслях социальной сферы муниципального образования Кореновский район, в соответствие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 в сфере культуры должен составить 96,8 %.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ориентация деятельности учреждений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культуры района, а также: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муниципального района Краснодарского края за счет увеличения доступности культурного продукта, предоставляемого учреждениями культуры;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расширение спектра муниципальных услуг в сфере культуры;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535D0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достижение поставленных целей и решение тактических задач должно идти с использованием программно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ультатов.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535D0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овский муниципальный район Краснодарского края.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качества и расширение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спектра муниципальных услуг в сфере культуры.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535D0F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показателей приведены в приложении № 1.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одпрограммы «Отдельные мероприятия по реализации Программы».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color w:val="000000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8"/>
        <w:gridCol w:w="1983"/>
        <w:gridCol w:w="1049"/>
        <w:gridCol w:w="1047"/>
        <w:gridCol w:w="1049"/>
        <w:gridCol w:w="972"/>
        <w:gridCol w:w="990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535D0F">
            <w:pPr>
              <w:shd w:val="clear" w:color="auto" w:fill="FFFFFF"/>
              <w:jc w:val="both"/>
            </w:pPr>
            <w:bookmarkStart w:id="39" w:name="_Hlk201216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  <w:bookmarkEnd w:id="39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8 159,8</w:t>
            </w:r>
          </w:p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т.ч.</w:t>
            </w:r>
          </w:p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8 159,8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529,8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1 323,8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535D0F">
      <w:pPr>
        <w:shd w:val="clear" w:color="auto" w:fill="FFFFFF"/>
        <w:jc w:val="center"/>
        <w:rPr>
          <w:rFonts w:hint="eastAsia"/>
          <w:color w:val="000000"/>
        </w:rPr>
      </w:pPr>
    </w:p>
    <w:p w:rsidR="00000000" w:rsidRDefault="00535D0F">
      <w:pPr>
        <w:shd w:val="clear" w:color="auto" w:fill="FFFFFF"/>
        <w:jc w:val="center"/>
        <w:rPr>
          <w:rFonts w:hint="eastAsia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535D0F">
      <w:pPr>
        <w:shd w:val="clear" w:color="auto" w:fill="FFFFFF"/>
        <w:jc w:val="center"/>
        <w:rPr>
          <w:rFonts w:hint="eastAsia"/>
          <w:color w:val="000000"/>
        </w:rPr>
      </w:pPr>
    </w:p>
    <w:p w:rsidR="00000000" w:rsidRDefault="00535D0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муниципальной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535D0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программы, её согласование с соисполнителями,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рдинацию деятельности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проводит оценку эффективности реализации муниципальной программы;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 Краснодарского края, отчет об объемах и источниках финансирования программы в разрезе мероприятий. </w:t>
      </w:r>
    </w:p>
    <w:p w:rsidR="00000000" w:rsidRDefault="00535D0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 на бумажных и электронных носителях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муниципальный район Краснодарского края, который представляет в управление экономики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министрации муниципального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 и степени выполнения мероприятий;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535D0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ленные сроки.</w:t>
      </w: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Д.В. Мартыненко</w:t>
      </w:r>
    </w:p>
    <w:p w:rsidR="00000000" w:rsidRDefault="00535D0F">
      <w:pPr>
        <w:widowControl/>
        <w:suppressAutoHyphens w:val="0"/>
        <w:spacing w:after="160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/>
          <w:pgMar w:top="624" w:right="567" w:bottom="1134" w:left="1701" w:header="567" w:footer="720" w:gutter="0"/>
          <w:pgNumType w:start="63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000000" w:rsidRDefault="00535D0F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жение № 1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80"/>
        <w:gridCol w:w="1342"/>
        <w:gridCol w:w="1079"/>
        <w:gridCol w:w="1227"/>
        <w:gridCol w:w="1227"/>
        <w:gridCol w:w="1226"/>
        <w:gridCol w:w="1227"/>
        <w:gridCol w:w="1255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5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535D0F">
      <w:pPr>
        <w:shd w:val="clear" w:color="auto" w:fill="FFFFFF"/>
        <w:rPr>
          <w:rFonts w:hint="eastAsia"/>
          <w:color w:val="000000"/>
        </w:rPr>
      </w:pPr>
    </w:p>
    <w:p w:rsidR="00000000" w:rsidRDefault="00535D0F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hd w:val="clear" w:color="auto" w:fill="FFFFFF"/>
        </w:rPr>
      </w:pPr>
    </w:p>
    <w:p w:rsidR="00000000" w:rsidRDefault="00535D0F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муниципальный район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Д.В. Мартыненко</w:t>
      </w:r>
    </w:p>
    <w:p w:rsidR="00000000" w:rsidRDefault="00535D0F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0" w:name="_Hlk20191221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«Отдельные мероприятия по реализации Программы»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 </w:t>
      </w:r>
    </w:p>
    <w:p w:rsidR="00000000" w:rsidRDefault="00535D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«Развитие культуры на 2022-2026 годы»</w:t>
      </w:r>
      <w:bookmarkEnd w:id="40"/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1946"/>
        <w:gridCol w:w="567"/>
        <w:gridCol w:w="1581"/>
        <w:gridCol w:w="971"/>
        <w:gridCol w:w="907"/>
        <w:gridCol w:w="908"/>
        <w:gridCol w:w="907"/>
        <w:gridCol w:w="907"/>
        <w:gridCol w:w="908"/>
        <w:gridCol w:w="979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Наименования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(субвенция, 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Обеспечение качественного управления развитием муниципальных учреждений отрасли «культура»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район;</w:t>
            </w: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trHeight w:val="75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bookmarkStart w:id="41" w:name="_Hlk2019123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ниципального образования Кореновский район</w:t>
            </w:r>
            <w:bookmarkEnd w:id="41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8 159,8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535D0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уровня удовлетворенности населения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 качеством предоставления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 получатель средств- отдел культуры администрации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535D0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8 159,8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35D0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35D0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535D0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35D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DejaVuSans" w:hAnsi="Times New Roman" w:cs="Times New Roman"/>
          <w:color w:val="000000"/>
          <w:sz w:val="28"/>
          <w:szCs w:val="28"/>
          <w:lang w:eastAsia="ru-RU" w:bidi="ar-SA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ачальника </w:t>
      </w:r>
    </w:p>
    <w:p w:rsidR="00000000" w:rsidRDefault="00535D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отдела культуры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администрации </w:t>
      </w:r>
    </w:p>
    <w:p w:rsidR="00000000" w:rsidRDefault="00535D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ниципального образования </w:t>
      </w:r>
    </w:p>
    <w:p w:rsidR="00000000" w:rsidRDefault="00535D0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Кореновский муниципальный  район</w:t>
      </w:r>
    </w:p>
    <w:p w:rsidR="00000000" w:rsidRDefault="00535D0F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Краснодарского края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 w:bidi="ar-SA"/>
        </w:rPr>
        <w:tab/>
        <w:t xml:space="preserve">                                                                                                              Д.В. Мартыненко</w:t>
      </w:r>
    </w:p>
    <w:sectPr w:rsidR="00000000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6838" w:h="11906" w:orient="landscape"/>
      <w:pgMar w:top="1560" w:right="1134" w:bottom="1134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5D0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35D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default"/>
  </w:font>
  <w:font w:name="Lohit Hind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  <w:rPr>
        <w:rFonts w:hint="eastAsia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  <w:rPr>
        <w:rFonts w:hint="eastAsia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  <w:rPr>
        <w:rFonts w:hint="eastAsia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  <w:rPr>
        <w:rFonts w:hint="eastAsia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  <w:rPr>
        <w:rFonts w:hint="eastAsia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4"/>
      <w:rPr>
        <w:rFonts w:hint="eastAsia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5D0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535D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rPr>
        <w:rFonts w:hint="eastAsia"/>
        <w:noProof/>
      </w:rPr>
      <w:t>2</w:t>
    </w:r>
    <w:r>
      <w:rPr>
        <w:rFonts w:hint="eastAsia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31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  <w:p w:rsidR="00000000" w:rsidRDefault="00535D0F">
    <w:pPr>
      <w:rPr>
        <w:rFonts w:hint="eastAsia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t>3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62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  <w:p w:rsidR="00000000" w:rsidRDefault="00535D0F">
    <w:pPr>
      <w:pStyle w:val="af3"/>
      <w:rPr>
        <w:rFonts w:hint="eastAsia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67</w:t>
    </w:r>
    <w:r>
      <w:fldChar w:fldCharType="end"/>
    </w:r>
  </w:p>
  <w:p w:rsidR="00000000" w:rsidRDefault="00535D0F">
    <w:pPr>
      <w:pStyle w:val="af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70</w:t>
    </w:r>
    <w: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67</w:t>
    </w:r>
    <w: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69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</w:instrText>
    </w:r>
    <w:r>
      <w:instrText xml:space="preserve">AGE </w:instrText>
    </w:r>
    <w:r>
      <w:fldChar w:fldCharType="separate"/>
    </w:r>
    <w: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5D0F">
    <w:pPr>
      <w:pStyle w:val="af3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  <w:p w:rsidR="00000000" w:rsidRDefault="00535D0F">
    <w:pPr>
      <w:pStyle w:val="af3"/>
      <w:rPr>
        <w:rFonts w:hint="eastAsia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D0F"/>
    <w:rsid w:val="005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00C79AF-3148-4D64-A76C-675AA187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ind w:left="720" w:hanging="360"/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a3">
    <w:name w:val="Верхний колонтитул Знак"/>
    <w:rPr>
      <w:rFonts w:ascii="Liberation Serif" w:eastAsia="SimSun" w:hAnsi="Liberation Serif" w:cs="Mangal"/>
      <w:sz w:val="24"/>
      <w:szCs w:val="24"/>
      <w:lang w:val="x-none" w:eastAsia="zh-CN" w:bidi="hi-IN"/>
    </w:rPr>
  </w:style>
  <w:style w:type="character" w:customStyle="1" w:styleId="a4">
    <w:name w:val="Нижний колонтитул Знак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12">
    <w:name w:val="Заголовок 1 Знак"/>
    <w:rPr>
      <w:rFonts w:ascii="Liberation Serif" w:eastAsia="SimSun" w:hAnsi="Liberation Serif" w:cs="Lucida Sans"/>
      <w:i/>
      <w:iCs/>
      <w:sz w:val="24"/>
      <w:szCs w:val="24"/>
      <w:lang w:val="x-none"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sz w:val="24"/>
      <w:szCs w:val="24"/>
      <w:lang w:val="x-none"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szCs w:val="28"/>
      <w:lang w:val="x-none"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sz w:val="24"/>
      <w:szCs w:val="24"/>
      <w:lang w:val="x-none"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sz w:val="20"/>
      <w:szCs w:val="20"/>
      <w:lang w:val="x-none"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sz w:val="20"/>
      <w:szCs w:val="20"/>
      <w:lang w:val="x-none" w:eastAsia="zh-CN" w:bidi="hi-IN"/>
    </w:rPr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lang w:val="ru-RU" w:bidi="ar-SA"/>
    </w:rPr>
  </w:style>
  <w:style w:type="character" w:customStyle="1" w:styleId="WW8Num7z0">
    <w:name w:val="WW8Num7z0"/>
    <w:rPr>
      <w:rFonts w:eastAsia="Times New Roman"/>
      <w:color w:val="000000"/>
    </w:rPr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w w:val="100"/>
      <w:lang w:val="ru-RU" w:bidi="ar-SA"/>
    </w:rPr>
  </w:style>
  <w:style w:type="character" w:customStyle="1" w:styleId="WW8Num9z1">
    <w:name w:val="WW8Num9z1"/>
    <w:rPr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5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6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14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ab">
    <w:name w:val="Символ нумерации"/>
  </w:style>
  <w:style w:type="character" w:customStyle="1" w:styleId="16">
    <w:name w:val="Основной текст Знак1"/>
    <w:rPr>
      <w:rFonts w:ascii="Liberation Serif" w:eastAsia="SimSun" w:hAnsi="Liberation Serif" w:cs="Mangal"/>
      <w:sz w:val="24"/>
      <w:szCs w:val="24"/>
      <w:lang w:val="x-none" w:eastAsia="zh-CN" w:bidi="hi-IN"/>
    </w:rPr>
  </w:style>
  <w:style w:type="character" w:customStyle="1" w:styleId="17">
    <w:name w:val="Подзаголовок Знак1"/>
    <w:rPr>
      <w:rFonts w:ascii="Georgia" w:eastAsia="Georgia" w:hAnsi="Georgia" w:cs="Georgia"/>
      <w:i/>
      <w:iCs/>
      <w:color w:val="666666"/>
      <w:sz w:val="48"/>
      <w:szCs w:val="48"/>
      <w:lang w:val="x-none" w:eastAsia="zh-CN" w:bidi="hi-IN"/>
    </w:rPr>
  </w:style>
  <w:style w:type="character" w:customStyle="1" w:styleId="22">
    <w:name w:val="Текст выноски Знак2"/>
    <w:rPr>
      <w:rFonts w:ascii="Segoe UI" w:eastAsia="SimSun" w:hAnsi="Segoe UI" w:cs="Segoe UI"/>
      <w:sz w:val="18"/>
      <w:szCs w:val="16"/>
      <w:lang w:val="x-none" w:eastAsia="zh-CN" w:bidi="hi-IN"/>
    </w:rPr>
  </w:style>
  <w:style w:type="character" w:customStyle="1" w:styleId="18">
    <w:name w:val="Текст примечания Знак1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customStyle="1" w:styleId="19">
    <w:name w:val="Тема примечания Знак1"/>
    <w:rPr>
      <w:rFonts w:ascii="Liberation Serif" w:eastAsia="SimSun" w:hAnsi="Liberation Serif" w:cs="Mangal"/>
      <w:b/>
      <w:bCs/>
      <w:sz w:val="20"/>
      <w:szCs w:val="18"/>
      <w:lang w:val="x-none" w:eastAsia="zh-CN"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c">
    <w:name w:val="Цветовое выделение для Текст"/>
    <w:rPr>
      <w:sz w:val="24"/>
    </w:rPr>
  </w:style>
  <w:style w:type="character" w:customStyle="1" w:styleId="apple-style-span">
    <w:name w:val="apple-style-span"/>
  </w:style>
  <w:style w:type="character" w:styleId="ad">
    <w:name w:val="Hyperlink"/>
    <w:basedOn w:val="DefaultParagraphFont"/>
    <w:rPr>
      <w:color w:val="0000FF"/>
      <w:u w:val="single"/>
      <w:lang/>
    </w:rPr>
  </w:style>
  <w:style w:type="paragraph" w:customStyle="1" w:styleId="32">
    <w:name w:val="Заголовок3"/>
    <w:basedOn w:val="a"/>
    <w:next w:val="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f">
    <w:name w:val="List"/>
    <w:basedOn w:val="8"/>
    <w:next w:val="81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0">
    <w:name w:val="Указатель12"/>
    <w:basedOn w:val="a"/>
    <w:pPr>
      <w:suppressLineNumbers/>
    </w:p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Заголовок2"/>
    <w:basedOn w:val="a"/>
    <w:next w:val="a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pPr>
      <w:suppressLineNumbers/>
    </w:pPr>
  </w:style>
  <w:style w:type="paragraph" w:customStyle="1" w:styleId="af2">
    <w:name w:val="Колонтитул"/>
    <w:basedOn w:val="a"/>
    <w:pPr>
      <w:suppressLineNumbers/>
    </w:pPr>
  </w:style>
  <w:style w:type="paragraph" w:styleId="af3">
    <w:name w:val="header"/>
    <w:basedOn w:val="a"/>
    <w:next w:val="Standard"/>
    <w:rPr>
      <w:lang w:val="x-none"/>
    </w:rPr>
  </w:style>
  <w:style w:type="paragraph" w:customStyle="1" w:styleId="Standard">
    <w:name w:val="Standard"/>
    <w:next w:val="af4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4">
    <w:name w:val="footer"/>
    <w:basedOn w:val="a"/>
    <w:rPr>
      <w:szCs w:val="21"/>
    </w:rPr>
  </w:style>
  <w:style w:type="paragraph" w:customStyle="1" w:styleId="1a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Lucida Sans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3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4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4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5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b"/>
    <w:pPr>
      <w:suppressLineNumbers/>
    </w:pPr>
    <w:rPr>
      <w:rFonts w:cs="Lucida Sans"/>
    </w:rPr>
  </w:style>
  <w:style w:type="paragraph" w:customStyle="1" w:styleId="33">
    <w:name w:val="Название объекта3"/>
    <w:basedOn w:val="a"/>
    <w:next w:val="1c"/>
    <w:pPr>
      <w:suppressLineNumbers/>
      <w:spacing w:before="120" w:after="120"/>
    </w:pPr>
    <w:rPr>
      <w:rFonts w:cs="Lucida Sans"/>
      <w:i/>
      <w:iCs/>
    </w:rPr>
  </w:style>
  <w:style w:type="paragraph" w:customStyle="1" w:styleId="34">
    <w:name w:val="Указатель3"/>
    <w:basedOn w:val="a"/>
    <w:next w:val="af5"/>
    <w:pPr>
      <w:suppressLineNumbers/>
    </w:pPr>
    <w:rPr>
      <w:rFonts w:cs="Lucida Sans"/>
    </w:rPr>
  </w:style>
  <w:style w:type="paragraph" w:customStyle="1" w:styleId="24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5">
    <w:name w:val="Указатель2"/>
    <w:basedOn w:val="a"/>
    <w:next w:val="af3"/>
    <w:pPr>
      <w:suppressLineNumbers/>
    </w:pPr>
  </w:style>
  <w:style w:type="paragraph" w:customStyle="1" w:styleId="1b">
    <w:name w:val="Название объекта1"/>
    <w:basedOn w:val="a"/>
    <w:next w:val="af4"/>
    <w:pPr>
      <w:suppressLineNumbers/>
      <w:spacing w:before="120" w:after="120"/>
    </w:pPr>
    <w:rPr>
      <w:i/>
      <w:iCs/>
    </w:rPr>
  </w:style>
  <w:style w:type="paragraph" w:customStyle="1" w:styleId="1c">
    <w:name w:val="Указатель1"/>
    <w:basedOn w:val="a"/>
    <w:next w:val="af6"/>
    <w:pPr>
      <w:suppressLineNumbers/>
    </w:pPr>
  </w:style>
  <w:style w:type="paragraph" w:styleId="af5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7">
    <w:name w:val="Верхний и нижний колонтитулы"/>
    <w:basedOn w:val="a"/>
    <w:next w:val="af8"/>
    <w:pPr>
      <w:suppressLineNumbers/>
    </w:pPr>
  </w:style>
  <w:style w:type="paragraph" w:customStyle="1" w:styleId="af6">
    <w:name w:val="Содержимое таблицы"/>
    <w:basedOn w:val="a"/>
    <w:next w:val="af9"/>
    <w:pPr>
      <w:suppressLineNumbers/>
    </w:pPr>
  </w:style>
  <w:style w:type="paragraph" w:styleId="af9">
    <w:name w:val="No Spacing"/>
    <w:next w:val="af6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a">
    <w:name w:val="Заголовок таблицы"/>
    <w:basedOn w:val="af9"/>
    <w:next w:val="210"/>
    <w:pPr>
      <w:suppressLineNumbers/>
      <w:jc w:val="center"/>
    </w:pPr>
    <w:rPr>
      <w:b/>
      <w:bCs/>
    </w:rPr>
  </w:style>
  <w:style w:type="paragraph" w:styleId="af8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2"/>
      </w:numPr>
      <w:jc w:val="center"/>
    </w:pPr>
    <w:rPr>
      <w:b/>
    </w:rPr>
  </w:style>
  <w:style w:type="paragraph" w:customStyle="1" w:styleId="1d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e">
    <w:name w:val="Текст примечания1"/>
    <w:basedOn w:val="a"/>
    <w:rPr>
      <w:sz w:val="20"/>
      <w:szCs w:val="18"/>
      <w:lang w:val="x-none"/>
    </w:rPr>
  </w:style>
  <w:style w:type="paragraph" w:customStyle="1" w:styleId="26">
    <w:name w:val="Текст примечания2"/>
    <w:basedOn w:val="a"/>
    <w:rPr>
      <w:sz w:val="20"/>
      <w:szCs w:val="18"/>
    </w:rPr>
  </w:style>
  <w:style w:type="paragraph" w:styleId="afb">
    <w:name w:val="annotation subject"/>
    <w:basedOn w:val="1e"/>
    <w:next w:val="1e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c">
    <w:name w:val="List Paragraph"/>
    <w:basedOn w:val="a"/>
    <w:qFormat/>
    <w:pPr>
      <w:ind w:left="720"/>
      <w:contextualSpacing/>
    </w:pPr>
    <w:rPr>
      <w:szCs w:val="21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f">
    <w:name w:val="Цитата1"/>
    <w:basedOn w:val="a"/>
    <w:pPr>
      <w:ind w:left="1134" w:right="-766"/>
    </w:pPr>
  </w:style>
  <w:style w:type="paragraph" w:customStyle="1" w:styleId="1f0">
    <w:name w:val="Обычный1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lainText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LO-Normal15">
    <w:name w:val="LO-Normal15"/>
    <w:pPr>
      <w:suppressAutoHyphens/>
    </w:pPr>
    <w:rPr>
      <w:color w:val="00000A"/>
      <w:sz w:val="24"/>
      <w:lang w:eastAsia="en-US"/>
    </w:rPr>
  </w:style>
  <w:style w:type="paragraph" w:customStyle="1" w:styleId="LO-Normal13">
    <w:name w:val="LO-Normal13"/>
    <w:pPr>
      <w:suppressAutoHyphens/>
    </w:pPr>
    <w:rPr>
      <w:color w:val="00000A"/>
      <w:sz w:val="24"/>
      <w:lang w:eastAsia="en-US"/>
    </w:rPr>
  </w:style>
  <w:style w:type="paragraph" w:customStyle="1" w:styleId="LO-Normal11">
    <w:name w:val="LO-Normal11"/>
    <w:pPr>
      <w:suppressAutoHyphens/>
    </w:pPr>
    <w:rPr>
      <w:color w:val="00000A"/>
      <w:sz w:val="24"/>
      <w:lang w:eastAsia="en-US"/>
    </w:rPr>
  </w:style>
  <w:style w:type="paragraph" w:customStyle="1" w:styleId="LO-Normal9">
    <w:name w:val="LO-Normal9"/>
    <w:pPr>
      <w:suppressAutoHyphens/>
    </w:pPr>
    <w:rPr>
      <w:color w:val="00000A"/>
      <w:sz w:val="24"/>
      <w:lang w:eastAsia="en-US"/>
    </w:rPr>
  </w:style>
  <w:style w:type="paragraph" w:customStyle="1" w:styleId="afd">
    <w:name w:val="Ссылка на официальную публикацию"/>
    <w:pPr>
      <w:widowControl w:val="0"/>
      <w:suppressAutoHyphens/>
      <w:ind w:firstLine="720"/>
      <w:jc w:val="both"/>
    </w:pPr>
    <w:rPr>
      <w:rFonts w:ascii="Calibri" w:eastAsia="SimSun" w:hAnsi="Calibri" w:cs="Calibri"/>
      <w:color w:val="00000A"/>
      <w:sz w:val="24"/>
      <w:szCs w:val="22"/>
      <w:lang w:eastAsia="en-US"/>
    </w:rPr>
  </w:style>
  <w:style w:type="paragraph" w:customStyle="1" w:styleId="afe">
    <w:name w:val="Нормальный (таблица)"/>
    <w:pPr>
      <w:widowControl w:val="0"/>
      <w:suppressAutoHyphens/>
      <w:jc w:val="both"/>
    </w:pPr>
    <w:rPr>
      <w:rFonts w:ascii="Calibri" w:eastAsia="SimSun" w:hAnsi="Calibri" w:cs="Calibri"/>
      <w:color w:val="00000A"/>
      <w:sz w:val="24"/>
      <w:szCs w:val="22"/>
      <w:lang w:eastAsia="en-US"/>
    </w:rPr>
  </w:style>
  <w:style w:type="paragraph" w:customStyle="1" w:styleId="LO-Normal7">
    <w:name w:val="LO-Normal7"/>
    <w:pPr>
      <w:suppressAutoHyphens/>
    </w:pPr>
    <w:rPr>
      <w:color w:val="00000A"/>
      <w:sz w:val="24"/>
      <w:lang w:eastAsia="en-US"/>
    </w:rPr>
  </w:style>
  <w:style w:type="paragraph" w:customStyle="1" w:styleId="LO-Normal5">
    <w:name w:val="LO-Normal5"/>
    <w:pPr>
      <w:suppressAutoHyphens/>
    </w:pPr>
    <w:rPr>
      <w:color w:val="00000A"/>
      <w:sz w:val="24"/>
      <w:lang w:eastAsia="en-US"/>
    </w:rPr>
  </w:style>
  <w:style w:type="paragraph" w:customStyle="1" w:styleId="LO-Normal3">
    <w:name w:val="LO-Normal3"/>
    <w:pPr>
      <w:suppressAutoHyphens/>
    </w:pPr>
    <w:rPr>
      <w:color w:val="00000A"/>
      <w:sz w:val="24"/>
      <w:lang w:eastAsia="en-US"/>
    </w:rPr>
  </w:style>
  <w:style w:type="paragraph" w:customStyle="1" w:styleId="LO-Normal1">
    <w:name w:val="LO-Normal1"/>
    <w:pPr>
      <w:suppressAutoHyphens/>
    </w:pPr>
    <w:rPr>
      <w:color w:val="00000A"/>
      <w:sz w:val="24"/>
      <w:lang w:eastAsia="en-US"/>
    </w:rPr>
  </w:style>
  <w:style w:type="paragraph" w:customStyle="1" w:styleId="LO-Normal2">
    <w:name w:val="LO-Normal2"/>
    <w:pPr>
      <w:suppressAutoHyphens/>
    </w:pPr>
    <w:rPr>
      <w:color w:val="00000A"/>
      <w:sz w:val="24"/>
      <w:lang w:eastAsia="en-US"/>
    </w:rPr>
  </w:style>
  <w:style w:type="paragraph" w:customStyle="1" w:styleId="1f1">
    <w:name w:val="Текст1"/>
    <w:basedOn w:val="a"/>
    <w:rPr>
      <w:rFonts w:ascii="Courier New" w:hAnsi="Courier New" w:cs="Courier New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6.xml"/><Relationship Id="rId39" Type="http://schemas.openxmlformats.org/officeDocument/2006/relationships/header" Target="header23.xml"/><Relationship Id="rId21" Type="http://schemas.openxmlformats.org/officeDocument/2006/relationships/header" Target="header14.xml"/><Relationship Id="rId34" Type="http://schemas.openxmlformats.org/officeDocument/2006/relationships/footer" Target="footer7.xml"/><Relationship Id="rId42" Type="http://schemas.openxmlformats.org/officeDocument/2006/relationships/header" Target="header24.xml"/><Relationship Id="rId47" Type="http://schemas.openxmlformats.org/officeDocument/2006/relationships/footer" Target="footer14.xml"/><Relationship Id="rId50" Type="http://schemas.openxmlformats.org/officeDocument/2006/relationships/header" Target="header28.xml"/><Relationship Id="rId55" Type="http://schemas.openxmlformats.org/officeDocument/2006/relationships/footer" Target="footer18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oter" Target="footer5.xml"/><Relationship Id="rId41" Type="http://schemas.openxmlformats.org/officeDocument/2006/relationships/footer" Target="footer11.xml"/><Relationship Id="rId54" Type="http://schemas.openxmlformats.org/officeDocument/2006/relationships/header" Target="header30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32" Type="http://schemas.openxmlformats.org/officeDocument/2006/relationships/header" Target="header19.xml"/><Relationship Id="rId37" Type="http://schemas.openxmlformats.org/officeDocument/2006/relationships/footer" Target="footer9.xml"/><Relationship Id="rId40" Type="http://schemas.openxmlformats.org/officeDocument/2006/relationships/footer" Target="footer10.xml"/><Relationship Id="rId45" Type="http://schemas.openxmlformats.org/officeDocument/2006/relationships/header" Target="header26.xml"/><Relationship Id="rId53" Type="http://schemas.openxmlformats.org/officeDocument/2006/relationships/footer" Target="footer17.xml"/><Relationship Id="rId58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36" Type="http://schemas.openxmlformats.org/officeDocument/2006/relationships/header" Target="header21.xml"/><Relationship Id="rId49" Type="http://schemas.openxmlformats.org/officeDocument/2006/relationships/footer" Target="footer15.xml"/><Relationship Id="rId57" Type="http://schemas.openxmlformats.org/officeDocument/2006/relationships/header" Target="header32.xml"/><Relationship Id="rId61" Type="http://schemas.openxmlformats.org/officeDocument/2006/relationships/footer" Target="foot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footer" Target="footer6.xml"/><Relationship Id="rId44" Type="http://schemas.openxmlformats.org/officeDocument/2006/relationships/header" Target="header25.xml"/><Relationship Id="rId52" Type="http://schemas.openxmlformats.org/officeDocument/2006/relationships/footer" Target="footer16.xml"/><Relationship Id="rId60" Type="http://schemas.openxmlformats.org/officeDocument/2006/relationships/header" Target="header3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oter" Target="footer1.xml"/><Relationship Id="rId27" Type="http://schemas.openxmlformats.org/officeDocument/2006/relationships/header" Target="header17.xml"/><Relationship Id="rId30" Type="http://schemas.openxmlformats.org/officeDocument/2006/relationships/header" Target="header18.xml"/><Relationship Id="rId35" Type="http://schemas.openxmlformats.org/officeDocument/2006/relationships/footer" Target="footer8.xml"/><Relationship Id="rId43" Type="http://schemas.openxmlformats.org/officeDocument/2006/relationships/footer" Target="footer12.xml"/><Relationship Id="rId48" Type="http://schemas.openxmlformats.org/officeDocument/2006/relationships/header" Target="header27.xml"/><Relationship Id="rId56" Type="http://schemas.openxmlformats.org/officeDocument/2006/relationships/header" Target="header31.xml"/><Relationship Id="rId8" Type="http://schemas.openxmlformats.org/officeDocument/2006/relationships/header" Target="header1.xml"/><Relationship Id="rId51" Type="http://schemas.openxmlformats.org/officeDocument/2006/relationships/header" Target="header29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3.xml"/><Relationship Id="rId33" Type="http://schemas.openxmlformats.org/officeDocument/2006/relationships/header" Target="header20.xml"/><Relationship Id="rId38" Type="http://schemas.openxmlformats.org/officeDocument/2006/relationships/header" Target="header22.xml"/><Relationship Id="rId46" Type="http://schemas.openxmlformats.org/officeDocument/2006/relationships/footer" Target="footer13.xml"/><Relationship Id="rId59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19139</Words>
  <Characters>109098</Characters>
  <Application>Microsoft Office Word</Application>
  <DocSecurity>0</DocSecurity>
  <Lines>909</Lines>
  <Paragraphs>255</Paragraphs>
  <ScaleCrop>false</ScaleCrop>
  <Company>SPecialiST RePack</Company>
  <LinksUpToDate>false</LinksUpToDate>
  <CharactersWithSpaces>127982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user</cp:lastModifiedBy>
  <cp:revision>2</cp:revision>
  <cp:lastPrinted>2025-10-06T06:50:00Z</cp:lastPrinted>
  <dcterms:created xsi:type="dcterms:W3CDTF">2025-10-15T06:22:00Z</dcterms:created>
  <dcterms:modified xsi:type="dcterms:W3CDTF">2025-10-15T06:22:00Z</dcterms:modified>
</cp:coreProperties>
</file>