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33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347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</w:rPr>
      </w:pPr>
      <w:r>
        <w:rPr>
          <w:color w:themeColor="dark1"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b/>
          <w:color w:themeColor="dark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b/>
          <w:color w:themeColor="dark1"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b/>
          <w:color w:themeColor="dark1"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36"/>
        </w:rPr>
      </w:pPr>
      <w:r>
        <w:rPr>
          <w:b/>
          <w:color w:themeColor="dark1"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b/>
          <w:color w:themeColor="dark1"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color w:themeColor="dark1" w:val="000000"/>
          <w:sz w:val="24"/>
        </w:rPr>
        <w:t xml:space="preserve">от </w:t>
      </w:r>
      <w:r>
        <w:rPr>
          <w:b/>
          <w:color w:themeColor="dark1" w:val="000000"/>
          <w:sz w:val="24"/>
        </w:rPr>
        <w:t>10</w:t>
      </w:r>
      <w:r>
        <w:rPr>
          <w:b/>
          <w:color w:themeColor="dark1" w:val="000000"/>
          <w:sz w:val="24"/>
        </w:rPr>
        <w:t xml:space="preserve">.02.2026                                                                                                                            № </w:t>
      </w:r>
      <w:r>
        <w:rPr>
          <w:b/>
          <w:color w:themeColor="dark1" w:val="000000"/>
          <w:sz w:val="24"/>
        </w:rPr>
        <w:t>116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  <w:sz w:val="24"/>
        </w:rPr>
      </w:pPr>
      <w:r>
        <w:rPr>
          <w:color w:themeColor="dark1" w:val="000000"/>
          <w:sz w:val="24"/>
        </w:rPr>
        <w:t>г. Кореновск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color w:themeColor="dark1" w:val="000000"/>
          <w:sz w:val="28"/>
          <w:szCs w:val="28"/>
          <w:lang w:bidi="zxx"/>
        </w:rPr>
      </w:pPr>
      <w:r>
        <w:rPr>
          <w:color w:themeColor="dark1" w:val="000000"/>
          <w:sz w:val="28"/>
          <w:szCs w:val="28"/>
          <w:lang w:bidi="zxx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Style7"/>
          <w:b/>
          <w:bCs/>
          <w:sz w:val="28"/>
          <w:szCs w:val="28"/>
          <w:shd w:fill="FFFFFF" w:val="clear"/>
        </w:rPr>
        <w:t>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 (с изменениями, внесенными постановлением от 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№</w:t>
      </w:r>
      <w:r>
        <w:rPr>
          <w:rStyle w:val="Style7"/>
          <w:b/>
          <w:bCs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7"/>
          <w:sz w:val="28"/>
          <w:szCs w:val="28"/>
          <w:shd w:fill="FFFFFF" w:val="clear"/>
        </w:rPr>
        <w:t xml:space="preserve">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 xml:space="preserve">годы» 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(с изменениями, внесенными постановлением от 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№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 xml:space="preserve">) </w:t>
      </w:r>
      <w:r>
        <w:rPr>
          <w:rStyle w:val="Style7"/>
          <w:sz w:val="28"/>
          <w:szCs w:val="28"/>
          <w:shd w:fill="FFFFFF" w:val="clear"/>
        </w:rPr>
        <w:t xml:space="preserve">изменения, изложив приложение в новой редакции (прилагается). 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постановления администрации муниципального образования Кореновский муниципальный район Краснодарского края от 24</w:t>
      </w:r>
      <w:r>
        <w:rPr>
          <w:rStyle w:val="Style7"/>
          <w:b w:val="false"/>
          <w:sz w:val="28"/>
          <w:szCs w:val="28"/>
          <w:shd w:fill="auto" w:val="clear"/>
          <w:lang w:val="ru-RU"/>
        </w:rPr>
        <w:t xml:space="preserve"> декабря 2025 года № 1843 </w:t>
      </w:r>
      <w:r>
        <w:rPr>
          <w:rStyle w:val="Style7"/>
          <w:b w:val="false"/>
          <w:sz w:val="28"/>
          <w:szCs w:val="28"/>
          <w:shd w:fill="FFFFFF" w:val="clear"/>
        </w:rPr>
        <w:t>«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муниципальный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2026-2028 годы».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false"/>
        <w:bidi w:val="0"/>
        <w:snapToGrid w:val="true"/>
        <w:spacing w:lineRule="auto" w:line="240" w:before="0" w:after="0"/>
        <w:ind w:firstLine="794" w:left="0" w:right="0"/>
        <w:jc w:val="both"/>
        <w:textAlignment w:val="baseline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10.02.2026 </w:t>
      </w:r>
      <w:r>
        <w:rPr>
          <w:rStyle w:val="Style7"/>
          <w:sz w:val="28"/>
          <w:szCs w:val="28"/>
        </w:rPr>
        <w:t xml:space="preserve"> года № </w:t>
      </w:r>
      <w:r>
        <w:rPr>
          <w:rStyle w:val="Style7"/>
          <w:sz w:val="28"/>
          <w:szCs w:val="28"/>
        </w:rPr>
        <w:t>116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10.02.2026 </w:t>
      </w:r>
      <w:r>
        <w:rPr>
          <w:rStyle w:val="Style7"/>
          <w:sz w:val="28"/>
          <w:szCs w:val="28"/>
        </w:rPr>
        <w:t xml:space="preserve"> года № </w:t>
      </w:r>
      <w:r>
        <w:rPr>
          <w:rStyle w:val="Style7"/>
          <w:sz w:val="28"/>
          <w:szCs w:val="28"/>
        </w:rPr>
        <w:t>116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Cs w:val="28"/>
          <w:shd w:fill="auto" w:val="clear"/>
        </w:rPr>
        <w:t xml:space="preserve"> на     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—414 780,6 тысяч рублей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211 218,0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191 218,0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203 562,6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203 562,6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320 189,7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300 189,7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211 218,0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191 218,0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108 971,7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108 971,7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430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2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320 189,7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211 218,0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2026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191 218,0</w:t>
            </w:r>
            <w:r>
              <w:rPr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108 971,7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108 971,7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320 189,7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color w:val="FF4000"/>
              </w:rPr>
            </w:pPr>
            <w:r>
              <w:rPr>
                <w:color w:val="FF4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300 189,7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211 218,0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191 218,0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108 971,7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108 971,7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5"/>
        <w:gridCol w:w="1247"/>
        <w:gridCol w:w="1078"/>
        <w:gridCol w:w="1020"/>
        <w:gridCol w:w="1247"/>
        <w:gridCol w:w="966"/>
        <w:gridCol w:w="1140"/>
        <w:gridCol w:w="1754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 кв</w:t>
            </w:r>
          </w:p>
          <w:p>
            <w:pPr>
              <w:pStyle w:val="Style14"/>
              <w:jc w:val="center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73 526,2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73 526,2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23 318,2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23 318,2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объекта: 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 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20 108,9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20 108,9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Охранные услуги на объекте: 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 кв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строительного контроля по объекту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 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манипулятора по объекту «Общеобразовательная организация на 400 мест по адресу: Краснодарский край,г.Кореновск»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96 481,1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96 481,1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66 481,1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66 481,1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строительного контроля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62 172,4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62 172,4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строительного контроля объекта строительства «Плавательный бассейн на 4 дорожки в г.Кореновске»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авторского надзора при строительстве объекта «Плавательный бассейн на 4 дорожки в г.Кореновске»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Площадка ГТО в хут. Левченко Кореновского района  Краснодарского края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В том числе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«Площадка ГТО в хут. Левченко Кореновского района  Краснодарского края»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  <w:p>
            <w:pPr>
              <w:pStyle w:val="Normal"/>
              <w:rPr/>
            </w:pPr>
            <w:r>
              <w:rPr/>
              <w:t>2026 г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Составление сметной документации на объекте «Площадка ГТО в хут. Левченко Кореновского района  Краснодарского края»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  <w:p>
            <w:pPr>
              <w:pStyle w:val="Normal"/>
              <w:rPr/>
            </w:pPr>
            <w:r>
              <w:rPr/>
              <w:t>2026 г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160,0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160,0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160,0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/>
      </w:r>
      <w:r>
        <w:br w:type="page"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pageBreakBefore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141"/>
        <w:gridCol w:w="1753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2-3 кв 2026 г.</w:t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Энергоснабжение объектов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2" w:name="__DdeLink__156724_366061773"/>
            <w:bookmarkEnd w:id="2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обеспечение их бесперебойной работоспособности в период реконструкции,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муниципальный район Краснодарского края</w:t>
      </w: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 xml:space="preserve">Выполнение Программы позволит решить задачи, нацеленные на обеспечение дальнейшего развития </w:t>
      </w:r>
      <w:r>
        <w:rPr>
          <w:sz w:val="28"/>
          <w:szCs w:val="28"/>
        </w:rPr>
        <w:t>Кореновского муниципального района Краснодарского края</w:t>
      </w:r>
      <w:r>
        <w:rPr/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134"/>
        <w:gridCol w:w="1744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2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кв. 2026 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Охранные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Вневедомственная охрана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 2026 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Охранные услуги на объекте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Вневедомственная охрана на объекте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             </w:t>
      </w:r>
      <w:r>
        <w:rPr/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even" r:id="rId33"/>
      <w:headerReference w:type="default" r:id="rId34"/>
      <w:headerReference w:type="first" r:id="rId35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28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28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33</w:t>
    </w:r>
    <w:r>
      <w:rPr>
        <w:sz w:val="28"/>
        <w:szCs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33</w:t>
    </w:r>
    <w:r>
      <w:rPr>
        <w:sz w:val="28"/>
        <w:szCs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35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35</w:t>
    </w:r>
    <w:r>
      <w:rPr>
        <w:sz w:val="28"/>
        <w:szCs w:val="28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37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37</w:t>
    </w:r>
    <w:r>
      <w:rPr>
        <w:sz w:val="28"/>
        <w:szCs w:val="28"/>
      </w:rPr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44</w:t>
    </w:r>
    <w:r>
      <w:rPr>
        <w:sz w:val="28"/>
        <w:szCs w:val="28"/>
      </w:rPr>
      <w:fldChar w:fldCharType="end"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44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49</w:t>
    </w:r>
    <w:r>
      <w:rPr>
        <w:sz w:val="28"/>
        <w:szCs w:val="28"/>
      </w:rPr>
      <w:fldChar w:fldCharType="end"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49</w:t>
    </w:r>
    <w:r>
      <w:rPr>
        <w:sz w:val="28"/>
        <w:szCs w:val="28"/>
      </w:rPr>
      <w:fldChar w:fldCharType="end"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efaultTabStop w:val="347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0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3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3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4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7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18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19">
    <w:name w:val="Текст выноски"/>
    <w:basedOn w:val="Style12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fals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10080</TotalTime>
  <Application>LibreOffice/7.6.4.1$Windows_X86_64 LibreOffice_project/e19e193f88cd6c0525a17fb7a176ed8e6a3e2aa1</Application>
  <AppVersion>15.0000</AppVersion>
  <Pages>49</Pages>
  <Words>8162</Words>
  <Characters>59189</Characters>
  <CharactersWithSpaces>66824</CharactersWithSpaces>
  <Paragraphs>1965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2026-02-10T16:42:39Z</cp:lastPrinted>
  <dcterms:modified xsi:type="dcterms:W3CDTF">2026-02-10T16:37:59Z</dcterms:modified>
  <cp:revision>1107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