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54050" cy="82486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3" t="-242" r="-303" b="-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zxx"/>
        </w:rPr>
      </w:pPr>
      <w:r>
        <w:rPr>
          <w:rFonts w:cs="Times New Roman"/>
          <w:b/>
          <w:color w:val="000000"/>
          <w:sz w:val="24"/>
          <w:szCs w:val="24"/>
          <w:lang w:bidi="zxx"/>
        </w:rPr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КОРЕНОВСКИЙ  МУНИЦИПАЛЬНЫЙ  РАЙОН</w:t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u w:val="none"/>
        </w:rPr>
        <w:t>КРАСНОДАРСКОГО 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/>
          <w:b/>
          <w:bCs/>
          <w:sz w:val="36"/>
          <w:szCs w:val="36"/>
          <w:lang w:bidi="zxx"/>
        </w:rPr>
        <w:t>ПОСТАНОВЛЕНИЕ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Times New Roman"/>
          <w:b/>
          <w:sz w:val="24"/>
        </w:rPr>
        <w:t>от 28.05.2026</w:t>
      </w:r>
      <w:r>
        <w:rPr>
          <w:rFonts w:cs="Times New Roman"/>
          <w:sz w:val="24"/>
        </w:rPr>
        <w:tab/>
        <w:tab/>
        <w:tab/>
        <w:tab/>
      </w:r>
      <w:r>
        <w:rPr>
          <w:rFonts w:cs="Times New Roman"/>
          <w:b/>
          <w:sz w:val="24"/>
        </w:rPr>
        <w:t xml:space="preserve">                                                                                         № 6</w:t>
      </w:r>
      <w:r>
        <w:rPr>
          <w:rFonts w:cs="Times New Roman"/>
          <w:b/>
          <w:sz w:val="24"/>
        </w:rPr>
        <w:t>20</w:t>
      </w:r>
    </w:p>
    <w:p>
      <w:pPr>
        <w:pStyle w:val="Normal"/>
        <w:spacing w:before="0" w:after="0"/>
        <w:jc w:val="center"/>
        <w:rPr/>
      </w:pPr>
      <w:r>
        <w:rPr>
          <w:rStyle w:val="FontStyle11"/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spacing w:val="0"/>
          <w:w w:val="100"/>
          <w:sz w:val="24"/>
          <w:u w:val="none"/>
        </w:rPr>
        <w:t>г. Кореновск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tabs>
          <w:tab w:val="clear" w:pos="708"/>
          <w:tab w:val="left" w:pos="1391" w:leader="none"/>
        </w:tabs>
        <w:suppressAutoHyphens w:val="true"/>
        <w:kinsoku w:val="true"/>
        <w:overflowPunct w:val="true"/>
        <w:autoSpaceDE w:val="true"/>
        <w:bidi w:val="0"/>
        <w:spacing w:lineRule="exact" w:line="322" w:before="0" w:after="0"/>
        <w:ind w:hanging="0" w:left="0" w:right="0"/>
        <w:jc w:val="center"/>
        <w:rPr>
          <w:b/>
          <w:bCs/>
          <w:color w:val="000000"/>
          <w:szCs w:val="28"/>
        </w:rPr>
      </w:pP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 xml:space="preserve">О внесении изменений в постановление администрации 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 xml:space="preserve">муниципального                                                                                                                                                                                                                                               образования Кореновский 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 xml:space="preserve">муниципальный 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район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 xml:space="preserve"> 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Краснодарского края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 xml:space="preserve">              от 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2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en-US" w:eastAsia="ru-RU"/>
        </w:rPr>
        <w:t>1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 xml:space="preserve"> 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ма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я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 xml:space="preserve"> 20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2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5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 xml:space="preserve"> г. № 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654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 xml:space="preserve">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 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(с изменениями, внесенными постановлением от 22.07.2025 № 1051)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Cs w:val="28"/>
          <w:lang w:val="ru-RU" w:eastAsia="ru-RU"/>
        </w:rPr>
        <w:t>.</w:t>
      </w:r>
      <w:r>
        <w:rPr>
          <w:b/>
          <w:bCs/>
          <w:color w:val="000000"/>
          <w:szCs w:val="28"/>
        </w:rPr>
        <w:t xml:space="preserve"> </w:t>
      </w:r>
    </w:p>
    <w:p>
      <w:pPr>
        <w:pStyle w:val="Normal"/>
        <w:suppressAutoHyphens w:val="true"/>
        <w:jc w:val="both"/>
        <w:rPr/>
      </w:pPr>
      <w:r>
        <w:rPr>
          <w:rStyle w:val="Style12"/>
          <w:b w:val="false"/>
          <w:bCs w:val="false"/>
          <w:color w:val="000000"/>
          <w:sz w:val="28"/>
          <w:szCs w:val="28"/>
          <w:shd w:fill="FFFFFF" w:val="clear"/>
          <w:lang w:val="ru-RU"/>
        </w:rPr>
        <w:tab/>
      </w:r>
    </w:p>
    <w:p>
      <w:pPr>
        <w:pStyle w:val="Normal"/>
        <w:suppressAutoHyphens w:val="true"/>
        <w:jc w:val="both"/>
        <w:rPr>
          <w:rStyle w:val="Style12"/>
          <w:rFonts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/>
        </w:rPr>
      </w:pPr>
      <w:r>
        <w:rPr/>
      </w:r>
    </w:p>
    <w:p>
      <w:pPr>
        <w:pStyle w:val="Normal"/>
        <w:suppressAutoHyphens w:val="true"/>
        <w:jc w:val="both"/>
        <w:rPr/>
      </w:pPr>
      <w:r>
        <w:rPr>
          <w:rStyle w:val="Style12"/>
          <w:b w:val="false"/>
          <w:bCs w:val="false"/>
          <w:color w:val="000000"/>
          <w:sz w:val="28"/>
          <w:szCs w:val="28"/>
          <w:shd w:fill="FFFFFF" w:val="clear"/>
          <w:lang w:val="ru-RU"/>
        </w:rPr>
        <w:tab/>
        <w:t xml:space="preserve">В целях приведения в соответствие с постановлением </w:t>
      </w:r>
      <w:r>
        <w:rPr>
          <w:rStyle w:val="Style12"/>
          <w:b w:val="false"/>
          <w:bCs w:val="false"/>
          <w:color w:val="000000"/>
          <w:sz w:val="28"/>
          <w:szCs w:val="28"/>
          <w:shd w:fill="FFFFFF" w:val="clear"/>
          <w:lang w:val="ru-RU"/>
        </w:rPr>
        <w:t>губернатора Краснодарского края от 27.04.2026г. № 220</w:t>
      </w: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 xml:space="preserve"> «О</w:t>
      </w:r>
      <w:r>
        <w:rPr>
          <w:rStyle w:val="FontStyle38"/>
          <w:rFonts w:eastAsia="Calibri"/>
          <w:b w:val="false"/>
          <w:bCs w:val="false"/>
          <w:color w:val="000000"/>
          <w:spacing w:val="-17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внесении</w:t>
      </w:r>
      <w:r>
        <w:rPr>
          <w:rStyle w:val="FontStyle38"/>
          <w:rFonts w:eastAsia="Calibri"/>
          <w:b w:val="false"/>
          <w:bCs w:val="false"/>
          <w:color w:val="000000"/>
          <w:spacing w:val="3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изменени</w:t>
      </w: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й</w:t>
      </w:r>
      <w:r>
        <w:rPr>
          <w:rStyle w:val="FontStyle38"/>
          <w:rFonts w:eastAsia="Calibri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в</w:t>
      </w:r>
      <w:r>
        <w:rPr>
          <w:rStyle w:val="FontStyle38"/>
          <w:rFonts w:eastAsia="Calibri"/>
          <w:b w:val="false"/>
          <w:bCs w:val="false"/>
          <w:color w:val="000000"/>
          <w:spacing w:val="-14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Style w:val="FontStyle38"/>
          <w:rFonts w:eastAsia="Calibri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ru-RU"/>
        </w:rPr>
        <w:t xml:space="preserve">постановление </w:t>
      </w:r>
      <w:r>
        <w:rPr>
          <w:b w:val="false"/>
          <w:bCs w:val="false"/>
          <w:sz w:val="28"/>
        </w:rPr>
        <w:t>главы администрации (губернатора) Краснодарского края от 25 июля 2017 г. №550 «Об утверждении Порядка предоставления</w:t>
      </w:r>
      <w:r>
        <w:rPr>
          <w:b w:val="false"/>
          <w:bCs w:val="false"/>
          <w:spacing w:val="-18"/>
          <w:sz w:val="28"/>
        </w:rPr>
        <w:t xml:space="preserve"> </w:t>
      </w:r>
      <w:r>
        <w:rPr>
          <w:b w:val="false"/>
          <w:bCs w:val="false"/>
          <w:sz w:val="28"/>
        </w:rPr>
        <w:t>местным</w:t>
      </w:r>
      <w:r>
        <w:rPr>
          <w:b w:val="false"/>
          <w:bCs w:val="false"/>
          <w:spacing w:val="-13"/>
          <w:sz w:val="28"/>
        </w:rPr>
        <w:t xml:space="preserve"> </w:t>
      </w:r>
      <w:r>
        <w:rPr>
          <w:b w:val="false"/>
          <w:bCs w:val="false"/>
          <w:sz w:val="28"/>
        </w:rPr>
        <w:t>бюджетам</w:t>
      </w:r>
      <w:r>
        <w:rPr>
          <w:b w:val="false"/>
          <w:bCs w:val="false"/>
          <w:spacing w:val="-13"/>
          <w:sz w:val="28"/>
        </w:rPr>
        <w:t xml:space="preserve"> </w:t>
      </w:r>
      <w:r>
        <w:rPr>
          <w:b w:val="false"/>
          <w:bCs w:val="false"/>
          <w:sz w:val="28"/>
        </w:rPr>
        <w:t>субвенций</w:t>
      </w:r>
      <w:r>
        <w:rPr>
          <w:b w:val="false"/>
          <w:bCs w:val="false"/>
          <w:spacing w:val="-8"/>
          <w:sz w:val="28"/>
        </w:rPr>
        <w:t xml:space="preserve"> </w:t>
      </w:r>
      <w:r>
        <w:rPr>
          <w:b w:val="false"/>
          <w:bCs w:val="false"/>
          <w:sz w:val="28"/>
        </w:rPr>
        <w:t>из</w:t>
      </w:r>
      <w:r>
        <w:rPr>
          <w:b w:val="false"/>
          <w:bCs w:val="false"/>
          <w:spacing w:val="-17"/>
          <w:sz w:val="28"/>
        </w:rPr>
        <w:t xml:space="preserve"> </w:t>
      </w:r>
      <w:r>
        <w:rPr>
          <w:b w:val="false"/>
          <w:bCs w:val="false"/>
          <w:sz w:val="28"/>
        </w:rPr>
        <w:t xml:space="preserve">бюджета </w:t>
      </w:r>
      <w:r>
        <w:rPr>
          <w:b w:val="false"/>
          <w:bCs w:val="false"/>
          <w:sz w:val="28"/>
        </w:rPr>
        <w:t>К</w:t>
      </w:r>
      <w:r>
        <w:rPr>
          <w:b w:val="false"/>
          <w:bCs w:val="false"/>
          <w:sz w:val="28"/>
        </w:rPr>
        <w:t>раснодарского</w:t>
      </w:r>
      <w:r>
        <w:rPr>
          <w:b w:val="false"/>
          <w:bCs w:val="false"/>
          <w:spacing w:val="-18"/>
          <w:sz w:val="28"/>
        </w:rPr>
        <w:t xml:space="preserve"> </w:t>
      </w:r>
      <w:r>
        <w:rPr>
          <w:b w:val="false"/>
          <w:bCs w:val="false"/>
          <w:sz w:val="28"/>
        </w:rPr>
        <w:t>края</w:t>
      </w:r>
      <w:r>
        <w:rPr>
          <w:b w:val="false"/>
          <w:bCs w:val="false"/>
          <w:spacing w:val="-17"/>
          <w:sz w:val="28"/>
        </w:rPr>
        <w:t xml:space="preserve"> </w:t>
      </w:r>
      <w:r>
        <w:rPr>
          <w:b w:val="false"/>
          <w:bCs w:val="false"/>
          <w:sz w:val="28"/>
        </w:rPr>
        <w:t>на</w:t>
      </w:r>
      <w:r>
        <w:rPr>
          <w:b w:val="false"/>
          <w:bCs w:val="false"/>
          <w:spacing w:val="-18"/>
          <w:sz w:val="28"/>
        </w:rPr>
        <w:t xml:space="preserve"> </w:t>
      </w:r>
      <w:r>
        <w:rPr>
          <w:b w:val="false"/>
          <w:bCs w:val="false"/>
          <w:sz w:val="28"/>
        </w:rPr>
        <w:t>осуществление</w:t>
      </w:r>
      <w:r>
        <w:rPr>
          <w:b w:val="false"/>
          <w:bCs w:val="false"/>
          <w:spacing w:val="-6"/>
          <w:sz w:val="28"/>
        </w:rPr>
        <w:t xml:space="preserve"> </w:t>
      </w:r>
      <w:r>
        <w:rPr>
          <w:b w:val="false"/>
          <w:bCs w:val="false"/>
          <w:sz w:val="28"/>
        </w:rPr>
        <w:t>отдельных государственны</w:t>
      </w:r>
      <w:r>
        <w:rPr>
          <w:b w:val="false"/>
          <w:bCs w:val="false"/>
          <w:sz w:val="28"/>
        </w:rPr>
        <w:t>х</w:t>
      </w:r>
      <w:r>
        <w:rPr>
          <w:b w:val="false"/>
          <w:bCs w:val="false"/>
          <w:sz w:val="28"/>
        </w:rPr>
        <w:t xml:space="preserve"> полномочий</w:t>
      </w:r>
      <w:r>
        <w:rPr>
          <w:b w:val="false"/>
          <w:bCs w:val="false"/>
          <w:spacing w:val="40"/>
          <w:sz w:val="28"/>
        </w:rPr>
        <w:t xml:space="preserve"> </w:t>
      </w:r>
      <w:r>
        <w:rPr>
          <w:b w:val="false"/>
          <w:bCs w:val="false"/>
          <w:sz w:val="28"/>
        </w:rPr>
        <w:t xml:space="preserve">по поддержке сельскохозяйственного производства </w:t>
      </w:r>
      <w:r>
        <w:rPr>
          <w:rStyle w:val="FontStyle38"/>
          <w:rFonts w:eastAsia="Calibri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ru-RU"/>
        </w:rPr>
        <w:t>в</w:t>
      </w:r>
      <w:r>
        <w:rPr>
          <w:rStyle w:val="FontStyle38"/>
          <w:rFonts w:eastAsia="Calibri"/>
          <w:b w:val="false"/>
          <w:bCs w:val="false"/>
          <w:color w:val="000000"/>
          <w:spacing w:val="-16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Style w:val="FontStyle38"/>
          <w:rFonts w:eastAsia="Calibri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ru-RU"/>
        </w:rPr>
        <w:t>Краснодарском</w:t>
      </w:r>
      <w:r>
        <w:rPr>
          <w:rStyle w:val="FontStyle38"/>
          <w:rFonts w:eastAsia="Calibri"/>
          <w:b w:val="false"/>
          <w:bCs w:val="false"/>
          <w:color w:val="000000"/>
          <w:spacing w:val="14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Style w:val="FontStyle38"/>
          <w:rFonts w:eastAsia="Calibri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ru-RU"/>
        </w:rPr>
        <w:t xml:space="preserve">крае» </w:t>
      </w:r>
      <w:r>
        <w:rPr>
          <w:rStyle w:val="FontStyle38"/>
          <w:rFonts w:eastAsia="Calibri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администрация муниципального образования Кореновский муниципальный район Краснодарского края</w:t>
      </w:r>
      <w:r>
        <w:rPr>
          <w:rStyle w:val="FontStyle16"/>
          <w:rFonts w:eastAsia="Times New Roman"/>
          <w:b w:val="false"/>
          <w:bCs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FFFFFF" w:val="clear"/>
          <w:lang w:val="ru-RU" w:eastAsia="ru-RU"/>
        </w:rPr>
        <w:t xml:space="preserve">              п о с т а н о в л я е т:</w:t>
      </w:r>
    </w:p>
    <w:p>
      <w:pPr>
        <w:pStyle w:val="Normal"/>
        <w:suppressAutoHyphens w:val="true"/>
        <w:ind w:firstLine="690" w:left="0" w:right="0"/>
        <w:jc w:val="both"/>
        <w:rPr/>
      </w:pPr>
      <w:r>
        <w:rPr>
          <w:rStyle w:val="1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1.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Cs w:val="28"/>
          <w:lang w:val="ru-RU" w:eastAsia="ru-RU"/>
        </w:rPr>
        <w:t xml:space="preserve"> 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Утвердить изменения в постановлени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е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администрации муниципального образования Кореновский 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муниципальный 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район 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Краснодарского края 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от 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2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1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ма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я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202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5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г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ода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№ 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654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 </w:t>
      </w: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в</w:t>
      </w:r>
      <w:r>
        <w:rPr>
          <w:rStyle w:val="FontStyle20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рамках реализации мероприятия государственной программы Кра</w:t>
      </w:r>
      <w:r>
        <w:rPr>
          <w:rStyle w:val="FontStyle20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снодарского </w:t>
      </w:r>
      <w:r>
        <w:rPr>
          <w:rStyle w:val="FontStyle20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края «Развитие сельского хозяйства и регулирование рынков сельскохозяйственной продукции, сырья и продовольствия» </w:t>
      </w:r>
      <w:r>
        <w:rPr>
          <w:rStyle w:val="FontStyle16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>(с изменениями, внесенными постановлением от 22.07.2025 № 1051)</w:t>
      </w:r>
      <w:r>
        <w:rPr>
          <w:rStyle w:val="FontStyle20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 xml:space="preserve"> </w:t>
      </w:r>
      <w:r>
        <w:rPr>
          <w:rStyle w:val="FontStyle20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>согласно приложению к настоящему постановлению.</w:t>
      </w:r>
    </w:p>
    <w:p>
      <w:pPr>
        <w:pStyle w:val="Normal"/>
        <w:suppressAutoHyphens w:val="true"/>
        <w:ind w:hanging="0" w:left="-34" w:right="0"/>
        <w:jc w:val="both"/>
        <w:rPr/>
      </w:pPr>
      <w:r>
        <w:rPr>
          <w:rStyle w:val="1"/>
          <w:szCs w:val="28"/>
          <w:shd w:fill="FFFFFF" w:val="clear"/>
        </w:rPr>
        <w:tab/>
        <w:tab/>
      </w:r>
    </w:p>
    <w:p>
      <w:pPr>
        <w:pStyle w:val="Normal"/>
        <w:suppressAutoHyphens w:val="true"/>
        <w:ind w:hanging="0" w:left="-34" w:right="0"/>
        <w:jc w:val="both"/>
        <w:rPr/>
      </w:pPr>
      <w:r>
        <w:rPr>
          <w:rStyle w:val="1"/>
          <w:szCs w:val="28"/>
          <w:shd w:fill="FFFFFF" w:val="clear"/>
        </w:rPr>
        <w:tab/>
        <w:tab/>
        <w:t>2</w:t>
      </w:r>
      <w:r>
        <w:rPr>
          <w:rStyle w:val="1"/>
          <w:szCs w:val="28"/>
          <w:shd w:fill="FFFFFF" w:val="clear"/>
        </w:rPr>
        <w:t>. </w:t>
      </w:r>
      <w:r>
        <w:rPr>
          <w:rStyle w:val="1"/>
          <w:color w:val="000000"/>
          <w:spacing w:val="-2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</w:t>
      </w:r>
      <w:r>
        <w:rPr>
          <w:rStyle w:val="Style21"/>
          <w:color w:val="000000"/>
          <w:spacing w:val="-1"/>
          <w:sz w:val="28"/>
          <w:szCs w:val="28"/>
          <w:shd w:fill="FFFFFF" w:val="clear"/>
        </w:rPr>
        <w:t xml:space="preserve">постановление в установленном порядке и разместить на официальном сайте администрации </w:t>
        <w:tab/>
        <w:t>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uppressAutoHyphens w:val="true"/>
        <w:ind w:hanging="0" w:left="-34" w:right="0"/>
        <w:jc w:val="both"/>
        <w:rPr/>
      </w:pPr>
      <w:r>
        <w:rPr>
          <w:rStyle w:val="1"/>
          <w:rFonts w:eastAsia="Calibri"/>
          <w:color w:val="000000"/>
          <w:spacing w:val="-1"/>
          <w:sz w:val="28"/>
          <w:szCs w:val="28"/>
          <w:shd w:fill="FFFFFF" w:val="clear"/>
        </w:rPr>
        <w:tab/>
        <w:tab/>
      </w:r>
      <w:r>
        <w:rPr>
          <w:rStyle w:val="1"/>
          <w:rFonts w:eastAsia="Calibri"/>
          <w:color w:val="000000"/>
          <w:spacing w:val="-1"/>
          <w:sz w:val="28"/>
          <w:szCs w:val="28"/>
          <w:shd w:fill="FFFFFF" w:val="clear"/>
        </w:rPr>
        <w:t>3</w:t>
      </w:r>
      <w:r>
        <w:rPr>
          <w:rStyle w:val="1"/>
          <w:rFonts w:eastAsia="Calibri"/>
          <w:color w:val="000000"/>
          <w:spacing w:val="-1"/>
          <w:sz w:val="28"/>
          <w:szCs w:val="28"/>
          <w:shd w:fill="FFFFFF" w:val="clear"/>
        </w:rPr>
        <w:t>. Постановление вступает в силу после его официального  обнародования.</w:t>
      </w:r>
    </w:p>
    <w:p>
      <w:pPr>
        <w:pStyle w:val="Normal"/>
        <w:suppressAutoHyphens w:val="true"/>
        <w:ind w:firstLine="705" w:left="0" w:right="0"/>
        <w:jc w:val="both"/>
        <w:rPr>
          <w:rStyle w:val="1"/>
          <w:color w:val="000000"/>
          <w:szCs w:val="28"/>
          <w:shd w:fill="FFFFFF" w:val="clear"/>
        </w:rPr>
      </w:pPr>
      <w:r>
        <w:rPr/>
      </w:r>
    </w:p>
    <w:p>
      <w:pPr>
        <w:pStyle w:val="Normal"/>
        <w:ind w:firstLine="705" w:left="0" w:right="0"/>
        <w:jc w:val="both"/>
        <w:rPr>
          <w:rStyle w:val="1"/>
          <w:color w:val="000000"/>
          <w:szCs w:val="28"/>
          <w:shd w:fill="FFFFFF" w:val="clear"/>
        </w:rPr>
      </w:pPr>
      <w:r>
        <w:rPr/>
      </w:r>
    </w:p>
    <w:p>
      <w:pPr>
        <w:pStyle w:val="Normal"/>
        <w:ind w:firstLine="705" w:left="0" w:right="0"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625" w:type="dxa"/>
        <w:jc w:val="left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4825"/>
      </w:tblGrid>
      <w:tr>
        <w:trPr/>
        <w:tc>
          <w:tcPr>
            <w:tcW w:w="4800" w:type="dxa"/>
            <w:tcBorders/>
          </w:tcPr>
          <w:p>
            <w:pPr>
              <w:pStyle w:val="BodyTextIndent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  <w:lang w:val="ru-RU"/>
              </w:rPr>
              <w:t>а</w:t>
            </w:r>
          </w:p>
          <w:p>
            <w:pPr>
              <w:pStyle w:val="BodyTextIndent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BodyTextIndent"/>
              <w:spacing w:before="0" w:after="12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</w:p>
        </w:tc>
        <w:tc>
          <w:tcPr>
            <w:tcW w:w="4825" w:type="dxa"/>
            <w:tcBorders/>
          </w:tcPr>
          <w:p>
            <w:pPr>
              <w:pStyle w:val="BodyTextIndent"/>
              <w:snapToGrid w:val="fals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BodyTextIndent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С.А. Голобородько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shd w:fill="FFFFFF" w:val="clear"/>
        <w:jc w:val="both"/>
        <w:rPr/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       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  <w:shd w:fill="auto" w:val="clear"/>
        </w:rPr>
        <w:t>ПРИЛОЖЕНИЕ</w:t>
      </w:r>
    </w:p>
    <w:p>
      <w:pPr>
        <w:pStyle w:val="Normal"/>
        <w:rPr/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                                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  <w:shd w:fill="auto" w:val="clear"/>
        </w:rPr>
        <w:tab/>
        <w:tab/>
        <w:tab/>
        <w:t xml:space="preserve">                                                                               УТВЕРЖДЕН</w:t>
        <w:tab/>
      </w:r>
    </w:p>
    <w:p>
      <w:pPr>
        <w:pStyle w:val="Normal"/>
        <w:rPr/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                                                                                 </w:t>
      </w:r>
      <w:r>
        <w:rPr>
          <w:rFonts w:cs="Times New Roman"/>
          <w:color w:val="000000"/>
          <w:sz w:val="28"/>
          <w:szCs w:val="28"/>
          <w:shd w:fill="auto" w:val="clear"/>
        </w:rPr>
        <w:t>постановлением администрации</w:t>
      </w:r>
    </w:p>
    <w:p>
      <w:pPr>
        <w:pStyle w:val="Normal"/>
        <w:rPr/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  <w:shd w:fill="auto" w:val="clear"/>
        </w:rPr>
        <w:t>муниципального образования</w:t>
      </w:r>
    </w:p>
    <w:p>
      <w:pPr>
        <w:pStyle w:val="Normal"/>
        <w:rPr/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Кореновский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муниципальный </w:t>
      </w:r>
    </w:p>
    <w:p>
      <w:pPr>
        <w:pStyle w:val="Normal"/>
        <w:rPr/>
      </w:pPr>
      <w:r>
        <w:rPr>
          <w:rFonts w:cs="Times New Roman"/>
          <w:color w:val="000000"/>
          <w:sz w:val="28"/>
          <w:szCs w:val="28"/>
          <w:shd w:fill="auto" w:val="clear"/>
        </w:rPr>
        <w:t xml:space="preserve">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район </w:t>
      </w:r>
      <w:r>
        <w:rPr>
          <w:rFonts w:cs="Times New Roman"/>
          <w:color w:val="000000"/>
          <w:sz w:val="28"/>
          <w:szCs w:val="28"/>
          <w:shd w:fill="auto" w:val="clear"/>
        </w:rPr>
        <w:t>Краснодарскогоо края</w:t>
      </w:r>
    </w:p>
    <w:p>
      <w:pPr>
        <w:pStyle w:val="Normal"/>
        <w:widowControl w:val="false"/>
        <w:jc w:val="right"/>
        <w:rPr/>
      </w:pPr>
      <w:r>
        <w:rPr>
          <w:rFonts w:eastAsia="Times New Roman" w:cs="Times New Roman"/>
          <w:bCs/>
          <w:color w:val="000000"/>
          <w:kern w:val="2"/>
          <w:sz w:val="28"/>
          <w:szCs w:val="28"/>
          <w:shd w:fill="auto" w:val="clear"/>
        </w:rPr>
        <w:t xml:space="preserve">           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28.05.2026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 №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>620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     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Cs/>
          <w:color w:val="000000"/>
          <w:kern w:val="2"/>
          <w:sz w:val="28"/>
          <w:szCs w:val="28"/>
          <w:shd w:fill="auto" w:val="clear"/>
        </w:rPr>
      </w:pPr>
      <w:r>
        <w:rPr>
          <w:rFonts w:cs="Times New Roman"/>
          <w:bCs/>
          <w:color w:val="000000"/>
          <w:kern w:val="2"/>
          <w:sz w:val="28"/>
          <w:szCs w:val="28"/>
          <w:shd w:fill="auto" w:val="clear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Cs/>
          <w:color w:val="000000"/>
          <w:kern w:val="2"/>
          <w:sz w:val="28"/>
          <w:szCs w:val="28"/>
          <w:shd w:fill="auto" w:val="clear"/>
        </w:rPr>
      </w:pPr>
      <w:r>
        <w:rPr>
          <w:rFonts w:cs="Times New Roman"/>
          <w:bCs/>
          <w:color w:val="000000"/>
          <w:kern w:val="2"/>
          <w:sz w:val="28"/>
          <w:szCs w:val="28"/>
          <w:shd w:fill="auto" w:val="clear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Cs/>
          <w:color w:val="000000"/>
          <w:kern w:val="2"/>
          <w:sz w:val="28"/>
          <w:szCs w:val="28"/>
          <w:shd w:fill="auto" w:val="clear"/>
        </w:rPr>
      </w:pPr>
      <w:r>
        <w:rPr>
          <w:rFonts w:cs="Times New Roman"/>
          <w:bCs/>
          <w:color w:val="000000"/>
          <w:kern w:val="2"/>
          <w:sz w:val="28"/>
          <w:szCs w:val="28"/>
          <w:shd w:fill="auto" w:val="clear"/>
        </w:rPr>
      </w:r>
    </w:p>
    <w:p>
      <w:pPr>
        <w:pStyle w:val="Normal"/>
        <w:spacing w:lineRule="atLeast" w:line="100"/>
        <w:jc w:val="center"/>
        <w:rPr>
          <w:bCs w:val="false"/>
          <w:sz w:val="28"/>
          <w:szCs w:val="24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4"/>
          <w:lang w:val="ru-RU" w:eastAsia="zxx" w:bidi="ar-SA"/>
        </w:rPr>
        <w:t xml:space="preserve">  </w:t>
      </w:r>
      <w:r>
        <w:rPr>
          <w:rStyle w:val="FontStyle16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ИЗМЕНЕНИЯ, </w:t>
      </w:r>
    </w:p>
    <w:p>
      <w:pPr>
        <w:pStyle w:val="Normal"/>
        <w:jc w:val="center"/>
        <w:rPr/>
      </w:pP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вносимые в постановлени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е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администрации 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муниципального </w:t>
      </w:r>
    </w:p>
    <w:p>
      <w:pPr>
        <w:pStyle w:val="Normal"/>
        <w:jc w:val="center"/>
        <w:rPr/>
      </w:pP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образования Кореновский 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муниципальный 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район </w:t>
      </w:r>
    </w:p>
    <w:p>
      <w:pPr>
        <w:pStyle w:val="Normal"/>
        <w:jc w:val="center"/>
        <w:rPr/>
      </w:pP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Краснодарского края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от 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2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1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ма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я 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20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2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5 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г.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 № 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654</w:t>
      </w:r>
      <w:r>
        <w:rPr>
          <w:rStyle w:val="FontStyle16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 xml:space="preserve"> «Об утверждении Порядка предоставле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>н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 xml:space="preserve">ия субсидий гражданам, ведущим личное подсобное </w:t>
      </w:r>
    </w:p>
    <w:p>
      <w:pPr>
        <w:pStyle w:val="Normal"/>
        <w:jc w:val="center"/>
        <w:rPr/>
      </w:pP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 xml:space="preserve">хозяйство, крестьянским (фермерским) хозяйствам, индивидуальным предпринимателям, осуществляющим деятельность в области </w:t>
      </w:r>
    </w:p>
    <w:p>
      <w:pPr>
        <w:pStyle w:val="Normal"/>
        <w:jc w:val="center"/>
        <w:rPr/>
      </w:pP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>сельскохозяйственного производства»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 xml:space="preserve">(с изменениями, внесенными </w:t>
      </w:r>
    </w:p>
    <w:p>
      <w:pPr>
        <w:pStyle w:val="Normal"/>
        <w:jc w:val="center"/>
        <w:rPr/>
      </w:pP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>постановлением от 22.07.2025 № 1051)</w:t>
      </w:r>
      <w:r>
        <w:rPr>
          <w:rStyle w:val="FontStyle16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>.</w:t>
      </w:r>
    </w:p>
    <w:p>
      <w:pPr>
        <w:pStyle w:val="Style141"/>
        <w:suppressAutoHyphens w:val="true"/>
        <w:spacing w:lineRule="auto" w:line="240" w:before="62" w:after="0"/>
        <w:ind w:firstLine="178" w:left="706" w:right="0"/>
        <w:jc w:val="center"/>
        <w:rPr>
          <w:rStyle w:val="FontStyle16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41"/>
        <w:suppressAutoHyphens w:val="true"/>
        <w:spacing w:lineRule="auto" w:line="240" w:before="62" w:after="0"/>
        <w:ind w:firstLine="178" w:left="706" w:right="0"/>
        <w:jc w:val="center"/>
        <w:rPr>
          <w:rStyle w:val="FontStyle16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lang w:val="ru-RU" w:eastAsia="ru-RU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uppressAutoHyphens w:val="true"/>
        <w:jc w:val="both"/>
        <w:rPr/>
      </w:pPr>
      <w:r>
        <w:rPr>
          <w:rStyle w:val="FontStyle19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 xml:space="preserve">1. </w:t>
      </w:r>
      <w:r>
        <w:rPr>
          <w:rStyle w:val="FontStyle19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П</w:t>
      </w:r>
      <w:r>
        <w:rPr>
          <w:rStyle w:val="FontStyle19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ункт </w:t>
      </w:r>
      <w:r>
        <w:rPr>
          <w:rStyle w:val="FontStyle19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1</w:t>
      </w:r>
      <w:r>
        <w:rPr>
          <w:rStyle w:val="FontStyle19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.</w:t>
      </w:r>
      <w:r>
        <w:rPr>
          <w:rStyle w:val="FontStyle19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9</w:t>
      </w:r>
      <w:r>
        <w:rPr>
          <w:rStyle w:val="FontStyle19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. </w:t>
      </w:r>
      <w:r>
        <w:rPr>
          <w:rStyle w:val="FontStyle19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приложения </w:t>
      </w:r>
      <w:r>
        <w:rPr>
          <w:rStyle w:val="FontStyle19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изложить в следующей редакции:</w:t>
      </w:r>
    </w:p>
    <w:p>
      <w:pPr>
        <w:pStyle w:val="Normal"/>
        <w:suppressAutoHyphens w:val="true"/>
        <w:jc w:val="both"/>
        <w:rPr/>
      </w:pPr>
      <w:r>
        <w:rPr>
          <w:rStyle w:val="FontStyle19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«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1.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9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Заявители вправе обращаться за возмещением части затрат, понесенных ими в текущем финансовом году и  четвертом квартале предыдущего года, при условии ведения ими соответствующей производственной деятельности на момент подачи заявления, на цели предоставления субсидии, указанные в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подпунктах 4, 5, 6, 7, 9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пункт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а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 1.4 раздела 1 настоящего Порядка.»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  <w:t>2. Дополнить пунктом 1.10. следующего содержания: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  <w:t xml:space="preserve">«1.10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Заявители вправе обращаться за возмещением части затрат, понесенных ими в текущем финансовом году и втором полугодии предыдущего года, при условии ведения ими соответствующей производственной деятельности на момент подачи заявления, на цели предоставления субсидии, указанные в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подпунктах 1, 2, 3, 8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пункт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а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 1.4 раздела 1 настоящего Порядка.»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3. Дополнить раздел 3 пунктом 11) следующего содержания: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  <w:t>«11) возмещения части затрат на приобретение товарных сельскохозяйственных животных  (коров, нетелей, ремонтных телок), предназначенных для воспроизводства по ставке 70 % от заявленных к субсидированию и подтвержденных затрат на: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  <w:t xml:space="preserve">приобретение поголовья коров, нетелей, ремонтных телок  в целях замены поголовья крупного рогатого скота молочного направления, больного или инфицированного лейкозом, выбывшего в текущем или предыдущем  годах, в целях достижения результата предоставления субсидии – «приобретено поголовье сельскохозяйственных животных, условных голов», но не более  </w:t>
        <w:br/>
        <w:t>350 рублей за 1 кг живого веса.»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  <w:t>4. Подпункт 2 пункта 1.4. изложить в следующей редакции: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  <w:t>«2) приобретение  племенных сельскохозяйственных животных, а также товарных сельскохозяйственных животных, предназначенных для воспроизводства: нетелей, овцематок, ремонтных телок, ярочек, козочек  в возрасте не старше двух лет на момент приобретения; коров  в возрасте не старше 5 лет на момент приобретения.»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5.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Подпункт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9)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 пункта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2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.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1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. изложить в следующей редакции: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  <w:t xml:space="preserve">9) в отношении получателя субсидии (ИП, глава КФХ, ЛПХ) не введена  процедура банкротства. Заявитель </w:t>
      </w:r>
      <w:r>
        <w:rPr>
          <w:rStyle w:val="FontStyle19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банкротства,      деятельность     получателя      субсидии      (участника     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Normal"/>
        <w:suppressAutoHyphens w:val="true"/>
        <w:jc w:val="both"/>
        <w:rPr/>
      </w:pP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ab/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6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.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П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риложени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я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 № 31,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32, 33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 изложить в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новой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 xml:space="preserve"> редакции </w:t>
      </w:r>
      <w:r>
        <w:rPr>
          <w:rStyle w:val="FontStyle38"/>
          <w:rFonts w:eastAsia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  <w:t>согласно приложений.</w:t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tbl>
      <w:tblPr>
        <w:tblW w:w="981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883"/>
      </w:tblGrid>
      <w:tr>
        <w:trPr/>
        <w:tc>
          <w:tcPr>
            <w:tcW w:w="4927" w:type="dxa"/>
            <w:tcBorders/>
          </w:tcPr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Заместитель г</w:t>
            </w:r>
            <w:r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  <w:lang w:val="ru-RU"/>
              </w:rPr>
              <w:t>ы</w:t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BodyTextIndent"/>
              <w:suppressAutoHyphens w:val="true"/>
              <w:spacing w:before="0" w:after="12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</w:p>
        </w:tc>
        <w:tc>
          <w:tcPr>
            <w:tcW w:w="4883" w:type="dxa"/>
            <w:tcBorders/>
          </w:tcPr>
          <w:p>
            <w:pPr>
              <w:pStyle w:val="BodyTextIndent"/>
              <w:suppressAutoHyphens w:val="true"/>
              <w:snapToGrid w:val="fals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А.Е. Дружинкин</w:t>
            </w:r>
          </w:p>
        </w:tc>
      </w:tr>
    </w:tbl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tbl>
      <w:tblPr>
        <w:tblW w:w="9643" w:type="dxa"/>
        <w:jc w:val="left"/>
        <w:tblInd w:w="-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32"/>
        <w:gridCol w:w="5511"/>
      </w:tblGrid>
      <w:tr>
        <w:trPr/>
        <w:tc>
          <w:tcPr>
            <w:tcW w:w="4132" w:type="dxa"/>
            <w:tcBorders/>
          </w:tcPr>
          <w:p>
            <w:pPr>
              <w:pStyle w:val="Style33"/>
              <w:snapToGrid w:val="false"/>
              <w:rPr/>
            </w:pPr>
            <w:r>
              <w:rPr/>
            </w:r>
          </w:p>
        </w:tc>
        <w:tc>
          <w:tcPr>
            <w:tcW w:w="5511" w:type="dxa"/>
            <w:tcBorders/>
          </w:tcPr>
          <w:p>
            <w:pPr>
              <w:pStyle w:val="Normal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</w:t>
            </w:r>
            <w:r>
              <w:rPr>
                <w:szCs w:val="26"/>
              </w:rPr>
              <w:t>ПРИЛОЖЕНИЕ № 31</w:t>
            </w:r>
          </w:p>
          <w:p>
            <w:pPr>
              <w:pStyle w:val="Style33"/>
              <w:ind w:right="397"/>
              <w:jc w:val="center"/>
              <w:rPr/>
            </w:pPr>
            <w:r>
              <w:rPr>
                <w:szCs w:val="26"/>
              </w:rPr>
              <w:t xml:space="preserve">к Порядку предоставления субсидий </w:t>
            </w:r>
            <w:r>
              <w:rPr>
                <w:rStyle w:val="1"/>
                <w:color w:val="000000"/>
                <w:szCs w:val="26"/>
              </w:rPr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</w:tr>
    </w:tbl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РАСЧЕТНЫЕ РАЗМЕРЫ</w:t>
      </w:r>
    </w:p>
    <w:p>
      <w:pPr>
        <w:pStyle w:val="ConsPlusTitle"/>
        <w:widowControl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ставок субсидий для предоставления финансовой государственной поддержки крестьянским (фермерским) хозяйствам и индивидуальным предпринимателям, ведущим деятельность в области сельскохозяйственного производства </w:t>
      </w:r>
    </w:p>
    <w:p>
      <w:pPr>
        <w:pStyle w:val="BodyText"/>
        <w:keepNext w:val="true"/>
        <w:keepLines/>
        <w:spacing w:before="0"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43" w:type="dxa"/>
        <w:jc w:val="left"/>
        <w:tblInd w:w="-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3"/>
        <w:gridCol w:w="4027"/>
        <w:gridCol w:w="59"/>
        <w:gridCol w:w="4884"/>
      </w:tblGrid>
      <w:tr>
        <w:trPr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N</w:t>
              <w:br/>
              <w:t>п/п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Вид субсидии</w:t>
            </w:r>
          </w:p>
        </w:tc>
        <w:tc>
          <w:tcPr>
            <w:tcW w:w="4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Размер субсидии на затраты, понесенные в текущем финансовом году и четвертом квартале предыдущего года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8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sz w:val="26"/>
                <w:szCs w:val="26"/>
              </w:rPr>
              <w:t xml:space="preserve">Возмещение части затрат на </w:t>
            </w:r>
            <w:r>
              <w:rPr>
                <w:rStyle w:val="FontStyle38"/>
                <w:rFonts w:eastAsia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sz w:val="26"/>
                <w:szCs w:val="26"/>
                <w:shd w:fill="auto" w:val="clear"/>
                <w:lang w:val="ru-RU" w:eastAsia="en-US"/>
              </w:rPr>
              <w:t>приобретение  племенных сельскохозяйственных животных, а также товарных сельскохозяйственных животных, предназначенных для воспроизводства: нетелей, овцематок, ремонтных телок, ярочек, козочек  в возрасте не старше двух лет на момент приобретения; коров  в возрасте не старше 5 лет на момент приобретения.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1.1</w:t>
            </w:r>
          </w:p>
        </w:tc>
        <w:tc>
          <w:tcPr>
            <w:tcW w:w="8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поголовье коров, нетелей, ремонтных телок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1.1.1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при приобретении 1 и более голов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200 рублей за 1кг живого веса, но не более 50% от фактически понесенных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1.2</w:t>
            </w:r>
          </w:p>
        </w:tc>
        <w:tc>
          <w:tcPr>
            <w:tcW w:w="8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поголовье овцематок (ярочек) пород мясного направления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1.2.1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при приобретении до 20 голов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100 рублей за 1кг живого веса, но не более 50% от фактически понесенных 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1.2.2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при приобретении более 20 голов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150 рублей за 1 кг живого веса, но не более 50% от фактически понесенных 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1.3</w:t>
            </w:r>
          </w:p>
        </w:tc>
        <w:tc>
          <w:tcPr>
            <w:tcW w:w="8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поголовье козочек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1.3.1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при приобретении товарного поголовья козочек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200 рублей за 1 кг живого веса, но не более 50% от фактически понесенных 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1.4</w:t>
            </w:r>
          </w:p>
        </w:tc>
        <w:tc>
          <w:tcPr>
            <w:tcW w:w="8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tLeast" w:line="288" w:before="0" w:after="0"/>
              <w:ind w:firstLine="54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приобретение поголовья коров, нетелей, ремонтных телок  в целях замены поголовья крупного рогатого скота молочного направления, больного или инфицированного лейкозом, выбывшего в текущем или предыдущем  годах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1.4.1</w:t>
            </w:r>
          </w:p>
        </w:tc>
        <w:tc>
          <w:tcPr>
            <w:tcW w:w="40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tLeast" w:line="288" w:before="0" w:after="0"/>
              <w:ind w:hanging="0" w:left="0" w:right="0"/>
              <w:jc w:val="both"/>
              <w:rPr>
                <w:sz w:val="28"/>
              </w:rPr>
            </w:pPr>
            <w:r>
              <w:rPr/>
              <w:t xml:space="preserve">При </w:t>
            </w:r>
            <w:r>
              <w:rPr/>
              <w:t>приобретени</w:t>
            </w:r>
            <w:r>
              <w:rPr/>
              <w:t>и</w:t>
            </w:r>
            <w:r>
              <w:rPr/>
              <w:t xml:space="preserve"> коров, </w:t>
            </w:r>
          </w:p>
          <w:p>
            <w:pPr>
              <w:pStyle w:val="Normal"/>
              <w:widowControl/>
              <w:spacing w:lineRule="atLeast" w:line="288" w:before="0" w:after="0"/>
              <w:ind w:hanging="0" w:left="0" w:right="0"/>
              <w:jc w:val="both"/>
              <w:rPr>
                <w:sz w:val="28"/>
              </w:rPr>
            </w:pPr>
            <w:r>
              <w:rPr/>
              <w:t>нетелей, ремонтных телок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/>
            </w:pPr>
            <w:r>
              <w:rPr>
                <w:szCs w:val="26"/>
              </w:rPr>
              <w:t>350</w:t>
            </w:r>
            <w:r>
              <w:rPr>
                <w:szCs w:val="26"/>
              </w:rPr>
              <w:t xml:space="preserve"> рублей за 1 кг живого веса, но не более </w:t>
            </w:r>
            <w:r>
              <w:rPr>
                <w:szCs w:val="26"/>
              </w:rPr>
              <w:t>7</w:t>
            </w:r>
            <w:r>
              <w:rPr>
                <w:szCs w:val="26"/>
              </w:rPr>
              <w:t>0% от фактически понесенных 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8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приобретение молодняка кроликов, гусей, индеек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на приобретение молодняка кроликов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400 рублей за одну голову, но не более 50% от фактически понесенных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2.2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на приобретение молодняка гусей, индеек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100 рублей за одну голову, но не более 50% от фактически понесенных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производство реализуемой продукции животноводства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3.1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за реализацию молока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/>
            </w:pPr>
            <w:r>
              <w:rPr>
                <w:szCs w:val="26"/>
                <w:lang w:val="en-US"/>
              </w:rPr>
              <w:t>4</w:t>
            </w:r>
            <w:r>
              <w:rPr>
                <w:szCs w:val="26"/>
              </w:rPr>
              <w:t xml:space="preserve"> рубля за 1 кг молока (в физическом весе), но не более чем за 100 000 кг в финансовом году  и не более </w:t>
            </w:r>
            <w:r>
              <w:rPr>
                <w:szCs w:val="26"/>
                <w:lang w:val="en-US"/>
              </w:rPr>
              <w:t>95</w:t>
            </w:r>
            <w:r>
              <w:rPr>
                <w:szCs w:val="26"/>
              </w:rPr>
              <w:t>% от фактически понесенных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3.2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за реализацию мяса крупного рогатого скота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15 рублей  за 1 кг живого веса (живой массы), но не более чем за 100 000 кг в финансовом году   и не более 95% от фактически понесенных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оплату услуг по искусственному осеменению сельскохозяйственных животных (крупного рогатого скота, овец и коз)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4.1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за искусственное осеменение крупного рогатого скота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1500 рублей за одну голову, но не более 50% от фактически понесенных 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4.2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за искусственное осеменение овец и коз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500 рублей за одну голову, но не более 50% от фактически понесенных  и подтвержденных затрат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20% от фактически понесенных и подтвержденных затрат на приобретение и установку, но не более 90 000 рублей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8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szCs w:val="26"/>
              </w:rPr>
              <w:t xml:space="preserve">Возмещение части затрат на строительство теплиц для выращивания овощей </w:t>
            </w:r>
            <w:r>
              <w:rPr>
                <w:color w:val="000000"/>
                <w:szCs w:val="26"/>
              </w:rPr>
              <w:t>и (или) ягод</w:t>
            </w:r>
            <w:r>
              <w:rPr>
                <w:szCs w:val="26"/>
              </w:rPr>
              <w:t xml:space="preserve"> защищенного грунта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6.1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строительство теплиц на металлическом и стеклопластиковом каркасе площадью не менее 100 кв. м каждая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700 рублей за 1 кв. м, но не более 95% от фактически понесенных  и подтвержденных затрат и не более чем за 0,5 га в финансовом году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6.2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строительство теплиц на деревянном и комбинированном каркасе площадью не менее 100 кв. м каждая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300 рублей за 1кв.м, но не более 95% от фактически понесенных  и подтвержденных затрат и не более чем за 0,5 га в финансовом году</w:t>
            </w:r>
          </w:p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приобретение технологического оборудования для животноводства и птицеводства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20% от фактически понесенных  и подтвержденных затрат на приобретение, но не более 80 000 рублей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>Возмещение части затрат по наращиванию поголовья коров</w:t>
            </w:r>
          </w:p>
        </w:tc>
        <w:tc>
          <w:tcPr>
            <w:tcW w:w="49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szCs w:val="26"/>
              </w:rPr>
            </w:pPr>
            <w:r>
              <w:rPr>
                <w:szCs w:val="26"/>
              </w:rPr>
              <w:t xml:space="preserve">50 000 рублей на одну голову, но не более чем за </w:t>
            </w:r>
            <w:r>
              <w:rPr>
                <w:szCs w:val="26"/>
              </w:rPr>
              <w:t>пять</w:t>
            </w:r>
            <w:r>
              <w:rPr>
                <w:szCs w:val="26"/>
              </w:rPr>
              <w:t xml:space="preserve"> голов в финансовом году  и не более 95 % от фактически понесенных и подтвержденных затрат на содержание субсидируемых животных</w:t>
            </w:r>
          </w:p>
        </w:tc>
      </w:tr>
    </w:tbl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tbl>
      <w:tblPr>
        <w:tblW w:w="969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772"/>
      </w:tblGrid>
      <w:tr>
        <w:trPr/>
        <w:tc>
          <w:tcPr>
            <w:tcW w:w="4927" w:type="dxa"/>
            <w:tcBorders/>
          </w:tcPr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Заместитель г</w:t>
            </w:r>
            <w:r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  <w:lang w:val="ru-RU"/>
              </w:rPr>
              <w:t>ы</w:t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BodyTextIndent"/>
              <w:suppressAutoHyphens w:val="true"/>
              <w:spacing w:before="0" w:after="12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</w:p>
        </w:tc>
        <w:tc>
          <w:tcPr>
            <w:tcW w:w="4772" w:type="dxa"/>
            <w:tcBorders/>
          </w:tcPr>
          <w:p>
            <w:pPr>
              <w:pStyle w:val="BodyTextIndent"/>
              <w:suppressAutoHyphens w:val="true"/>
              <w:snapToGrid w:val="fals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А.Е. Дружинкин</w:t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rStyle w:val="FontStyle38"/>
        </w:rPr>
        <w:tab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tbl>
      <w:tblPr>
        <w:tblW w:w="9643" w:type="dxa"/>
        <w:jc w:val="left"/>
        <w:tblInd w:w="-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85"/>
        <w:gridCol w:w="5058"/>
      </w:tblGrid>
      <w:tr>
        <w:trPr/>
        <w:tc>
          <w:tcPr>
            <w:tcW w:w="4585" w:type="dxa"/>
            <w:tcBorders/>
          </w:tcPr>
          <w:p>
            <w:pPr>
              <w:pStyle w:val="Style33"/>
              <w:snapToGrid w:val="false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058" w:type="dxa"/>
            <w:tcBorders/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ПРИЛОЖЕНИЕ № 32</w:t>
            </w:r>
          </w:p>
          <w:p>
            <w:pPr>
              <w:pStyle w:val="Style33"/>
              <w:jc w:val="center"/>
              <w:rPr/>
            </w:pPr>
            <w:r>
              <w:rPr>
                <w:szCs w:val="26"/>
              </w:rPr>
              <w:t xml:space="preserve">к Порядку предоставления субсидий </w:t>
            </w:r>
            <w:r>
              <w:rPr>
                <w:rStyle w:val="1"/>
                <w:color w:val="000000"/>
                <w:szCs w:val="26"/>
              </w:rPr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</w:tr>
    </w:tbl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РАСЧЕТНЫЕ РАЗМЕРЫ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ставок субсидий для предоставления финансовой государственной 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поддержки развития личных подсобных хозяйств в области 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сельскохозяйственного производства 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tbl>
      <w:tblPr>
        <w:tblW w:w="9705" w:type="dxa"/>
        <w:jc w:val="left"/>
        <w:tblInd w:w="-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3"/>
        <w:gridCol w:w="3002"/>
        <w:gridCol w:w="5970"/>
      </w:tblGrid>
      <w:tr>
        <w:trPr>
          <w:trHeight w:val="1092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>
              <w:rPr>
                <w:szCs w:val="26"/>
              </w:rPr>
              <w:t>п/п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Вид субсидии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Cs w:val="26"/>
              </w:rPr>
              <w:t>Размер субсидии на затраты, понесенные в текущем финансовом году и четвертом квартале предыдущего года,</w:t>
            </w:r>
            <w:r>
              <w:rPr>
                <w:rFonts w:cs="Arial" w:ascii="Arial" w:hAnsi="Arial"/>
                <w:szCs w:val="26"/>
              </w:rPr>
              <w:t xml:space="preserve"> </w:t>
            </w:r>
            <w:r>
              <w:rPr>
                <w:szCs w:val="26"/>
              </w:rPr>
              <w:t>для граждан, не применяющих специальный налоговый режим «Налог на профессиональный доход»</w:t>
            </w:r>
          </w:p>
        </w:tc>
      </w:tr>
      <w:tr>
        <w:trPr>
          <w:trHeight w:val="325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sz w:val="26"/>
                <w:szCs w:val="26"/>
              </w:rPr>
              <w:t xml:space="preserve">Возмещение части затрат на </w:t>
            </w:r>
            <w:r>
              <w:rPr>
                <w:rStyle w:val="FontStyle38"/>
                <w:rFonts w:eastAsia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sz w:val="26"/>
                <w:szCs w:val="26"/>
                <w:shd w:fill="auto" w:val="clear"/>
                <w:lang w:val="ru-RU" w:eastAsia="en-US"/>
              </w:rPr>
              <w:t>приобретение  племенных сельскохозяйственных животных, а также товарных сельскохозяйственных животных, предназначенных для воспроизводства: нетелей, овцематок, ремонтных телок, ярочек, козочек  в возрасте не старше двух лет на момент приобретения; коров  в возрасте не старше 5 лет на момент приобретения.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1.1</w:t>
            </w:r>
          </w:p>
        </w:tc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поголовье коров, нетелей, ремонтных телок</w:t>
            </w:r>
          </w:p>
        </w:tc>
      </w:tr>
      <w:tr>
        <w:trPr>
          <w:trHeight w:val="874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1.1.1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при приобретении до 3 голов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150 рублей за 1 кг живого веса, но не более 50 % от фактически понесенных  и подтвержденных затрат при наличии общего поголовья с учетом приобретаемого не более 3 голов по похозяйственному учету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1.2</w:t>
            </w:r>
          </w:p>
        </w:tc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поголовье овцематок (ярочек) пород мясного направления</w:t>
            </w:r>
          </w:p>
        </w:tc>
      </w:tr>
      <w:tr>
        <w:trPr>
          <w:trHeight w:val="1565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1.2.1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при приобретении до 20 голов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100 рублей за 1 кг живого веса, но не более 50 % от фактически понесенных  и подтвержденных затрат при наличии общего поголовья с учетом приобретаемого не более 20 голов по похозяйственному учету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1.3</w:t>
            </w:r>
          </w:p>
        </w:tc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поголовье козочек</w:t>
            </w:r>
          </w:p>
        </w:tc>
      </w:tr>
      <w:tr>
        <w:trPr>
          <w:trHeight w:val="844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1.3.1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при приобретении до 3 голов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150 рублей за 1 кг живого веса, но не более 50 % от фактически понесенных и подтвержденных затрат при наличии общего поголовья с учетом приобретаемого не более 3 голов по похозяйственному учету</w:t>
            </w:r>
          </w:p>
        </w:tc>
      </w:tr>
      <w:tr>
        <w:trPr>
          <w:trHeight w:val="844" w:hRule="atLeast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1.4</w:t>
            </w:r>
          </w:p>
        </w:tc>
        <w:tc>
          <w:tcPr>
            <w:tcW w:w="89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288" w:before="0" w:after="0"/>
              <w:ind w:firstLine="54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приобретение поголовья коров, нетелей, ремонтных телок  в целях замены поголовья крупного рогатого скота молочного направления, больного или инфицированного лейкозом, выбывшего в текущем или предыдущем  годах</w:t>
            </w:r>
          </w:p>
        </w:tc>
      </w:tr>
      <w:tr>
        <w:trPr>
          <w:trHeight w:val="844" w:hRule="atLeast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1.4.1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288" w:before="0" w:after="0"/>
              <w:ind w:hanging="0" w:left="0" w:right="0"/>
              <w:jc w:val="both"/>
              <w:rPr>
                <w:sz w:val="28"/>
              </w:rPr>
            </w:pPr>
            <w:r>
              <w:rPr/>
              <w:t xml:space="preserve">При </w:t>
            </w:r>
            <w:r>
              <w:rPr/>
              <w:t>приобретени</w:t>
            </w:r>
            <w:r>
              <w:rPr/>
              <w:t>и</w:t>
            </w:r>
            <w:r>
              <w:rPr/>
              <w:t xml:space="preserve"> </w:t>
            </w:r>
          </w:p>
          <w:p>
            <w:pPr>
              <w:pStyle w:val="Normal"/>
              <w:widowControl/>
              <w:spacing w:lineRule="atLeast" w:line="288" w:before="0" w:after="0"/>
              <w:ind w:hanging="0" w:left="0" w:right="0"/>
              <w:jc w:val="both"/>
              <w:rPr>
                <w:sz w:val="28"/>
              </w:rPr>
            </w:pPr>
            <w:r>
              <w:rPr/>
              <w:t>коров, нетелей, ремонтных телок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rPr/>
            </w:pPr>
            <w:r>
              <w:rPr>
                <w:szCs w:val="26"/>
              </w:rPr>
              <w:t>350</w:t>
            </w:r>
            <w:r>
              <w:rPr>
                <w:szCs w:val="26"/>
              </w:rPr>
              <w:t xml:space="preserve"> рублей за 1 кг живого веса, но не более </w:t>
            </w:r>
            <w:r>
              <w:rPr>
                <w:szCs w:val="26"/>
              </w:rPr>
              <w:t>7</w:t>
            </w:r>
            <w:r>
              <w:rPr>
                <w:szCs w:val="26"/>
              </w:rPr>
              <w:t>0% от фактически понесенных  и подтвержденных затрат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приобретение молодняка кроликов, гусей, индеек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молодняка кроликов до 50 голов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300 рублей за одну голову, но не более 50 % от фактически понесенных и подтвержденных затрат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2.3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молодняка гусей, индеек до 50 голов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100 рублей за одну голову, но не более 50 % от фактически понесенных и подтвержденных затрат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производство реализуемой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продукции животноводства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3.1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за реализацию мяса крупного рогатого скота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15 рублей за 1 кг живого веса, но не более чем за     1 000 кг в финансовом году, но не более 95 % от фактически понесенных и подтвержденных затрат</w:t>
            </w:r>
          </w:p>
        </w:tc>
      </w:tr>
      <w:tr>
        <w:trPr>
          <w:trHeight w:val="776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3.2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за реализацию молока (коров, коз)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4 рубля за 1 кг молока, но не более чем за 10 000 кг в финансовом году, но не более 95 % от фактически понесенных и подтвержденных затрат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оплату услуг по искусственному осеменению сельскохозяйственных животных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(крупного рогатого скота, овец и коз)</w:t>
            </w:r>
          </w:p>
        </w:tc>
      </w:tr>
      <w:tr>
        <w:trPr>
          <w:trHeight w:val="1042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4.1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за искусственное осеменение крупного рогатого скота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1500 рублей за одну голову, но не более 50 % от фактически понесенных и подтвержденных затрат</w:t>
            </w:r>
          </w:p>
        </w:tc>
      </w:tr>
      <w:tr>
        <w:trPr>
          <w:trHeight w:val="830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4.2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за искусственное осеменение овец и коз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500 рублей за одну голову, но не более 50 % от фактически понесенных и подтвержденных затрат</w:t>
            </w:r>
          </w:p>
        </w:tc>
      </w:tr>
      <w:tr>
        <w:trPr>
          <w:trHeight w:val="607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строительство теплиц для выращивания овощей  и (или) ягод защищенного грунта</w:t>
            </w:r>
          </w:p>
        </w:tc>
      </w:tr>
      <w:tr>
        <w:trPr>
          <w:trHeight w:val="304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5.1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строительство теплиц на металлическом и стеклопластиковом каркасе площадью не менее 50 кв. м каждая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700 рублей за 1 кв. м, но не более 95 % от фактически понесенных и подтвержденных затрат и не более чем за 0,01 га в финансовом году</w:t>
            </w:r>
          </w:p>
        </w:tc>
      </w:tr>
      <w:tr>
        <w:trPr>
          <w:trHeight w:val="304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5.2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строительство теплиц на деревянном и комбинированном каркасе площадью не менее 50 кв. м каждая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300 рублей за 1 кв. м, но не более 95 % от фактически понесенных затрат и не более чем за 0,01 га в финансовом году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tbl>
      <w:tblPr>
        <w:tblW w:w="981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883"/>
      </w:tblGrid>
      <w:tr>
        <w:trPr/>
        <w:tc>
          <w:tcPr>
            <w:tcW w:w="4927" w:type="dxa"/>
            <w:tcBorders/>
          </w:tcPr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Заместитель г</w:t>
            </w:r>
            <w:r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  <w:lang w:val="ru-RU"/>
              </w:rPr>
              <w:t>ы</w:t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BodyTextIndent"/>
              <w:suppressAutoHyphens w:val="true"/>
              <w:spacing w:before="0" w:after="12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</w:p>
        </w:tc>
        <w:tc>
          <w:tcPr>
            <w:tcW w:w="4883" w:type="dxa"/>
            <w:tcBorders/>
          </w:tcPr>
          <w:p>
            <w:pPr>
              <w:pStyle w:val="BodyTextIndent"/>
              <w:suppressAutoHyphens w:val="true"/>
              <w:snapToGrid w:val="fals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А.Е. Дружинкин</w:t>
            </w:r>
          </w:p>
        </w:tc>
      </w:tr>
    </w:tbl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p>
      <w:pPr>
        <w:pStyle w:val="Normal"/>
        <w:suppressAutoHyphens w:val="true"/>
        <w:jc w:val="both"/>
        <w:rPr>
          <w:rStyle w:val="FontStyle38"/>
          <w:rFonts w:eastAsia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en-US"/>
        </w:rPr>
      </w:pPr>
      <w:r>
        <w:rPr/>
      </w:r>
    </w:p>
    <w:tbl>
      <w:tblPr>
        <w:tblW w:w="9643" w:type="dxa"/>
        <w:jc w:val="left"/>
        <w:tblInd w:w="-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85"/>
        <w:gridCol w:w="5058"/>
      </w:tblGrid>
      <w:tr>
        <w:trPr/>
        <w:tc>
          <w:tcPr>
            <w:tcW w:w="4585" w:type="dxa"/>
            <w:tcBorders/>
          </w:tcPr>
          <w:p>
            <w:pPr>
              <w:pStyle w:val="Style33"/>
              <w:snapToGrid w:val="false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058" w:type="dxa"/>
            <w:tcBorders/>
          </w:tcPr>
          <w:p>
            <w:pPr>
              <w:pStyle w:val="Style33"/>
              <w:jc w:val="center"/>
              <w:rPr>
                <w:szCs w:val="26"/>
              </w:rPr>
            </w:pPr>
            <w:r>
              <w:rPr>
                <w:szCs w:val="26"/>
              </w:rPr>
              <w:t>ПРИЛОЖЕНИЕ № 33</w:t>
            </w:r>
          </w:p>
          <w:p>
            <w:pPr>
              <w:pStyle w:val="Style33"/>
              <w:jc w:val="center"/>
              <w:rPr/>
            </w:pPr>
            <w:r>
              <w:rPr>
                <w:szCs w:val="26"/>
              </w:rPr>
              <w:t xml:space="preserve">к Порядку предоставления субсидий </w:t>
            </w:r>
            <w:r>
              <w:rPr>
                <w:rStyle w:val="1"/>
                <w:color w:val="000000"/>
                <w:szCs w:val="26"/>
              </w:rPr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</w:tr>
    </w:tbl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РАСЧЕТНЫЕ РАЗМЕРЫ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ставок субсидий для предоставления финансовой государственной 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поддержки для граждан, ведущих личные подсобные хозяйства 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и применяющих специальный налоговый режим 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«налог на профессиональный доход» по направлению 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«Мой огород – мой бизнес»</w:t>
      </w:r>
    </w:p>
    <w:tbl>
      <w:tblPr>
        <w:tblW w:w="9843" w:type="dxa"/>
        <w:jc w:val="left"/>
        <w:tblInd w:w="-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3294"/>
        <w:gridCol w:w="5812"/>
      </w:tblGrid>
      <w:tr>
        <w:trPr>
          <w:trHeight w:val="1092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>
              <w:rPr>
                <w:szCs w:val="26"/>
              </w:rPr>
              <w:t>п/п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Вид субсидии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Размер субсидии на затраты, понесенные в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текущем финансовом году и четвертом квартале предыдущего года,</w:t>
            </w:r>
            <w:r>
              <w:rPr>
                <w:rFonts w:cs="Arial" w:ascii="Arial" w:hAnsi="Arial"/>
                <w:szCs w:val="26"/>
              </w:rPr>
              <w:t xml:space="preserve"> </w:t>
            </w:r>
            <w:r>
              <w:rPr>
                <w:szCs w:val="26"/>
              </w:rPr>
              <w:t>для граждан, применяющих специальный налоговый режим «Налог на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профессиональный доход»</w:t>
            </w:r>
          </w:p>
        </w:tc>
      </w:tr>
      <w:tr>
        <w:trPr>
          <w:trHeight w:val="148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sz w:val="26"/>
                <w:szCs w:val="26"/>
              </w:rPr>
              <w:t xml:space="preserve">Возмещение части затрат на </w:t>
            </w:r>
            <w:r>
              <w:rPr>
                <w:rStyle w:val="FontStyle38"/>
                <w:rFonts w:eastAsia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sz w:val="26"/>
                <w:szCs w:val="26"/>
                <w:shd w:fill="auto" w:val="clear"/>
                <w:lang w:val="ru-RU" w:eastAsia="en-US"/>
              </w:rPr>
              <w:t>приобретение  племенных сельскохозяйственных животных, а также товарных сельскохозяйственных животных, предназначенных для воспроизводства: нетелей, овцематок, ремонтных телок, ярочек, козочек  в возрасте не старше двух лет на момент приобретения; коров  в возрасте не старше 5 лет на момент приобретения.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1.1</w:t>
            </w:r>
          </w:p>
        </w:tc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поголовье коров, нетелей, ремонтных телок</w:t>
            </w:r>
          </w:p>
        </w:tc>
      </w:tr>
      <w:tr>
        <w:trPr>
          <w:trHeight w:val="559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1.1.1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при приобретении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не более 10 голов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150 рублей за 1 кг живого веса, но не более 50 % от фактически понесенных и подтвержденных затрат при наличии общего поголовья с учетом приобретаемого не более 10 голов по похозяйственному учету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1.2</w:t>
            </w:r>
          </w:p>
        </w:tc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поголовье овцематок (ярочек) пород мясного направления</w:t>
            </w:r>
          </w:p>
        </w:tc>
      </w:tr>
      <w:tr>
        <w:trPr>
          <w:trHeight w:val="757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1.2.1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при приобретении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не более 30 голов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150 рублей за 1 кг живого веса, но не более 50 % от фактически понесенных и подтвержденных затрат при наличии общего поголовья с учетом приобретаемого не более 30 голов по похозяйственному учету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1.3</w:t>
            </w:r>
          </w:p>
        </w:tc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поголовье козочек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1.3.1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при приобретении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не более 30 голов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200 рублей за 1 кг живого веса, но не более 50 % от фактически понесенных и подтвержденных затрат при наличии общего поголовья с учетом приобретаемого не более 30 голов по похозяйственному учету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1.4</w:t>
            </w:r>
          </w:p>
        </w:tc>
        <w:tc>
          <w:tcPr>
            <w:tcW w:w="91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288" w:before="0" w:after="0"/>
              <w:ind w:firstLine="54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приобретение поголовья коров, нетелей, ремонтных телок  в целях замены поголовья крупного рогатого скота молочного направления, больного или инфицированного лейкозом, выбывшего в текущем или предыдущем  годах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1.4.1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288" w:before="0" w:after="0"/>
              <w:ind w:hanging="0" w:left="0" w:right="0"/>
              <w:jc w:val="both"/>
              <w:rPr>
                <w:sz w:val="28"/>
              </w:rPr>
            </w:pPr>
            <w:r>
              <w:rPr/>
              <w:t xml:space="preserve">При </w:t>
            </w:r>
            <w:r>
              <w:rPr/>
              <w:t>приобретени</w:t>
            </w:r>
            <w:r>
              <w:rPr/>
              <w:t>и</w:t>
            </w:r>
            <w:r>
              <w:rPr/>
              <w:t xml:space="preserve"> </w:t>
            </w:r>
          </w:p>
          <w:p>
            <w:pPr>
              <w:pStyle w:val="Normal"/>
              <w:widowControl/>
              <w:spacing w:lineRule="atLeast" w:line="288" w:before="0" w:after="0"/>
              <w:ind w:hanging="0" w:left="0" w:right="0"/>
              <w:jc w:val="both"/>
              <w:rPr>
                <w:sz w:val="28"/>
              </w:rPr>
            </w:pPr>
            <w:r>
              <w:rPr/>
              <w:t>коров, нетелей, ремонтных телок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rPr/>
            </w:pPr>
            <w:r>
              <w:rPr>
                <w:szCs w:val="26"/>
              </w:rPr>
              <w:t>350</w:t>
            </w:r>
            <w:r>
              <w:rPr>
                <w:szCs w:val="26"/>
              </w:rPr>
              <w:t xml:space="preserve"> рублей за 1 кг живого веса, но не более </w:t>
            </w:r>
            <w:r>
              <w:rPr>
                <w:szCs w:val="26"/>
              </w:rPr>
              <w:t>7</w:t>
            </w:r>
            <w:r>
              <w:rPr>
                <w:szCs w:val="26"/>
              </w:rPr>
              <w:t>0% от фактически понесенных  и подтвержденных затрат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приобретение молодняка кроликов, нутрий, гусей, индеек, уток, кур-несушек, перепелов, а также пчелопакетов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на приобретение молодняка нутрий, кроликов не более 200 голов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400 рублей за одну голову, но не более 50 % от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фактически понесенных и подтвержденных затрат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2.3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на приобретение молодняка гусей, индеек не более 1000 голов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200 рублей за одну голову, но не более 50 % от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фактически понесенных и подтвержденных затрат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2.4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на приобретение молодняка уток не более 1000 голов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50 рублей за одну голову, но не более 50 % от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фактически понесенных и подтвержденных затрат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2.5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на приобретение молодняка кур-несушек не более 1500 голов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40 рублей за одну голову, но не более 50 % от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фактически понесенных и подтвержденных затрат</w:t>
            </w:r>
          </w:p>
        </w:tc>
      </w:tr>
      <w:tr>
        <w:trPr>
          <w:trHeight w:val="621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2.6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на приобретение молодняка перепелов не более 1500 голов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30 рублей за одну голову, но не более 50 % от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фактически понесенных и подтвержденных затрат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2.7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на приобретение не более 30 пчелопакетов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2000 рублей за пчелопакет, но не более 50 % от фактически понесенных и подтвержденных затрат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производство реализуемой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продукции животноводства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3.1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за реализацию мяса крупного рогатого скота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15 рублей за 1 кг живого веса, но не более чем за   5 000 кг в финансовом году, но не более 95 % от фактически понесенных и подтвержденных затрат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3.2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за реализацию молока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(коров, коз)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4 рубля за 1 кг молока, но не более чем за 25 000 кг в финансовом году, но не более 95 % от фактически понесенных и подтвержденных затрат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оплату услуг по искусственному осеменению</w:t>
            </w:r>
          </w:p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сельскохозяйственных животных (крупного рогатого скота, овец и коз)</w:t>
            </w:r>
          </w:p>
        </w:tc>
      </w:tr>
      <w:tr>
        <w:trPr>
          <w:trHeight w:val="678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4.1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за искусственное осеменение крупного рогатого скота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1500 рублей за одну голову, но не более 50 % от фактически понесенных и подтвержденных затрат</w:t>
            </w:r>
          </w:p>
        </w:tc>
      </w:tr>
      <w:tr>
        <w:trPr>
          <w:trHeight w:val="75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4.2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за искусственное осеменение овец и коз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500 рублей за одну голову, но не более 50 % от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фактически понесенных и подтвержденных затрат</w:t>
            </w:r>
          </w:p>
        </w:tc>
      </w:tr>
      <w:tr>
        <w:trPr>
          <w:trHeight w:val="515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Возмещение части затрат на строительство теплиц для выращивания овощей  и (или) ягод в защищенном грунте</w:t>
            </w:r>
          </w:p>
        </w:tc>
      </w:tr>
      <w:tr>
        <w:trPr>
          <w:trHeight w:val="30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5.1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строительство теплиц на металлическом и стеклопластиковом каркасе площадью не менее 50 кв. м каждая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700 рублей за 1 кв. м, но не более 95 % от фактически понесенных и подтвержденных затрат и не более чем за 0,2 га в финансовом году</w:t>
            </w:r>
          </w:p>
        </w:tc>
      </w:tr>
      <w:tr>
        <w:trPr>
          <w:trHeight w:val="30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5.2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строительство теплиц на деревянном и комбинированном каркасе площадью не менее 50 кв. м каждая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300 рублей за 1 кв. м, но не более 95 % от фактически понесенных и подтвержденных затрат и не более чем за 0,2 га в финансовом году</w:t>
            </w:r>
          </w:p>
        </w:tc>
      </w:tr>
      <w:tr>
        <w:trPr>
          <w:trHeight w:val="30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приобретение  технологического оборудования для животноводства, птицеводства и переработки животноводческой продукции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50 % от фактически понесенных и подтвержденных затрат на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приобретение, но не более 100 000 рублей</w:t>
            </w:r>
          </w:p>
        </w:tc>
      </w:tr>
      <w:tr>
        <w:trPr>
          <w:trHeight w:val="1229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приобретение саженцев плодово-ягодных культур, рассады и семян овощных и цветочных культур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50 % от фактически понесенных и подтвержденных затрат на приобретение, но не более 50 000 рублей</w:t>
            </w:r>
          </w:p>
        </w:tc>
      </w:tr>
      <w:tr>
        <w:trPr>
          <w:trHeight w:val="30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50 % от фактически понесенных и подтвержденных затрат на приобретение и установку, но не более 90 000 рублей</w:t>
            </w:r>
          </w:p>
        </w:tc>
      </w:tr>
    </w:tbl>
    <w:p>
      <w:pPr>
        <w:pStyle w:val="Normal"/>
        <w:widowControl w:val="false"/>
        <w:jc w:val="both"/>
        <w:rPr>
          <w:szCs w:val="26"/>
        </w:rPr>
      </w:pPr>
      <w:r>
        <w:rPr/>
      </w:r>
    </w:p>
    <w:p>
      <w:pPr>
        <w:pStyle w:val="Normal"/>
        <w:widowControl w:val="false"/>
        <w:jc w:val="both"/>
        <w:rPr>
          <w:szCs w:val="26"/>
        </w:rPr>
      </w:pPr>
      <w:r>
        <w:rPr/>
      </w:r>
    </w:p>
    <w:p>
      <w:pPr>
        <w:pStyle w:val="Normal"/>
        <w:suppressAutoHyphens w:val="true"/>
        <w:jc w:val="both"/>
        <w:rPr>
          <w:rStyle w:val="FontStyle19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</w:pPr>
      <w:r>
        <w:rPr/>
      </w:r>
    </w:p>
    <w:tbl>
      <w:tblPr>
        <w:tblW w:w="981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883"/>
      </w:tblGrid>
      <w:tr>
        <w:trPr/>
        <w:tc>
          <w:tcPr>
            <w:tcW w:w="4927" w:type="dxa"/>
            <w:tcBorders/>
          </w:tcPr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Заместитель г</w:t>
            </w:r>
            <w:r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  <w:lang w:val="ru-RU"/>
              </w:rPr>
              <w:t>ы</w:t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BodyTextIndent"/>
              <w:suppressAutoHyphens w:val="true"/>
              <w:spacing w:before="0" w:after="12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</w:p>
        </w:tc>
        <w:tc>
          <w:tcPr>
            <w:tcW w:w="4883" w:type="dxa"/>
            <w:tcBorders/>
          </w:tcPr>
          <w:p>
            <w:pPr>
              <w:pStyle w:val="BodyTextIndent"/>
              <w:suppressAutoHyphens w:val="true"/>
              <w:snapToGrid w:val="fals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BodyTextIndent"/>
              <w:suppressAutoHyphens w:val="true"/>
              <w:spacing w:before="0" w:after="0"/>
              <w:ind w:hanging="0" w:left="0" w:right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А.Е. Дружинкин</w:t>
            </w:r>
          </w:p>
        </w:tc>
      </w:tr>
    </w:tbl>
    <w:p>
      <w:pPr>
        <w:pStyle w:val="Normal"/>
        <w:suppressAutoHyphens w:val="true"/>
        <w:jc w:val="both"/>
        <w:rPr>
          <w:rStyle w:val="FontStyle19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7"/>
      <w:szCs w:val="27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WW8Num3z0">
    <w:name w:val="WW8Num3z0"/>
    <w:qFormat/>
    <w:rPr>
      <w:sz w:val="27"/>
      <w:szCs w:val="27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color w:val="000000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color w:val="FF0000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Style13">
    <w:name w:val="Основной текст с отступом Знак"/>
    <w:qFormat/>
    <w:rPr>
      <w:sz w:val="28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yle14">
    <w:name w:val="Верхний колонтитул Знак"/>
    <w:qFormat/>
    <w:rPr>
      <w:sz w:val="28"/>
      <w:szCs w:val="24"/>
    </w:rPr>
  </w:style>
  <w:style w:type="character" w:styleId="Style15">
    <w:name w:val="Нижний колонтитул Знак"/>
    <w:qFormat/>
    <w:rPr>
      <w:sz w:val="28"/>
      <w:szCs w:val="24"/>
    </w:rPr>
  </w:style>
  <w:style w:type="character" w:styleId="11">
    <w:name w:val="Заголовок 1 Знак"/>
    <w:qFormat/>
    <w:rPr>
      <w:b/>
      <w:bCs/>
      <w:sz w:val="28"/>
      <w:szCs w:val="24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17">
    <w:name w:val="Текст примечания Знак"/>
    <w:basedOn w:val="1"/>
    <w:qFormat/>
    <w:rPr/>
  </w:style>
  <w:style w:type="character" w:styleId="Style18">
    <w:name w:val="Цветовое выделение"/>
    <w:qFormat/>
    <w:rPr>
      <w:b/>
      <w:color w:val="26282F"/>
    </w:rPr>
  </w:style>
  <w:style w:type="character" w:styleId="Style19">
    <w:name w:val="Основной текст Знак"/>
    <w:qFormat/>
    <w:rPr>
      <w:rFonts w:ascii="Calibri" w:hAnsi="Calibri" w:eastAsia="Calibri" w:cs="Calibri"/>
      <w:sz w:val="22"/>
      <w:szCs w:val="22"/>
    </w:rPr>
  </w:style>
  <w:style w:type="character" w:styleId="Style20">
    <w:name w:val="Символ нумерации"/>
    <w:qFormat/>
    <w:rPr/>
  </w:style>
  <w:style w:type="character" w:styleId="Emphasis">
    <w:name w:val="Emphasis"/>
    <w:qFormat/>
    <w:rPr>
      <w:i/>
      <w:iCs/>
    </w:rPr>
  </w:style>
  <w:style w:type="character" w:styleId="Style21">
    <w:name w:val="Цветовое выделение для Текст"/>
    <w:qFormat/>
    <w:rPr>
      <w:sz w:val="26"/>
    </w:rPr>
  </w:style>
  <w:style w:type="character" w:styleId="DefaultParagraphFont">
    <w:name w:val="Default Paragraph Font"/>
    <w:qFormat/>
    <w:rPr/>
  </w:style>
  <w:style w:type="character" w:styleId="FontStyle16">
    <w:name w:val="Font Style16"/>
    <w:basedOn w:val="DefaultParagraphFont"/>
    <w:qFormat/>
    <w:rPr>
      <w:rFonts w:ascii="Times New Roman" w:hAnsi="Times New Roman"/>
      <w:b/>
      <w:sz w:val="26"/>
    </w:rPr>
  </w:style>
  <w:style w:type="character" w:styleId="FontStyle19">
    <w:name w:val="Font Style19"/>
    <w:basedOn w:val="DefaultParagraphFont"/>
    <w:qFormat/>
    <w:rPr>
      <w:rFonts w:ascii="Times New Roman" w:hAnsi="Times New Roman"/>
      <w:sz w:val="26"/>
    </w:rPr>
  </w:style>
  <w:style w:type="character" w:styleId="FontStyle20">
    <w:name w:val="Font Style20"/>
    <w:basedOn w:val="DefaultParagraphFont"/>
    <w:qFormat/>
    <w:rPr>
      <w:rFonts w:ascii="Times New Roman" w:hAnsi="Times New Roman"/>
      <w:sz w:val="26"/>
    </w:rPr>
  </w:style>
  <w:style w:type="character" w:styleId="FontStyle23">
    <w:name w:val="Font Style23"/>
    <w:basedOn w:val="DefaultParagraphFont"/>
    <w:qFormat/>
    <w:rPr>
      <w:rFonts w:ascii="Times New Roman" w:hAnsi="Times New Roman"/>
      <w:sz w:val="22"/>
    </w:rPr>
  </w:style>
  <w:style w:type="character" w:styleId="DefaultParagraphFont1">
    <w:name w:val="Default Paragraph Font1"/>
    <w:qFormat/>
    <w:rPr/>
  </w:style>
  <w:style w:type="character" w:styleId="FontStyle38">
    <w:name w:val="Font Style38"/>
    <w:basedOn w:val="DefaultParagraphFont1"/>
    <w:qFormat/>
    <w:rPr>
      <w:rFonts w:ascii="Times New Roman" w:hAnsi="Times New Roman" w:cs="Times New Roman"/>
      <w:sz w:val="26"/>
    </w:rPr>
  </w:style>
  <w:style w:type="character" w:styleId="FontStyle11">
    <w:name w:val="Font Style11"/>
    <w:basedOn w:val="DefaultParagraphFont1"/>
    <w:qFormat/>
    <w:rPr>
      <w:rFonts w:ascii="Times New Roman" w:hAnsi="Times New Roman" w:cs="Times New Roman"/>
      <w:sz w:val="26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20"/>
    </w:pPr>
    <w:rPr>
      <w:rFonts w:ascii="Calibri" w:hAnsi="Calibri" w:eastAsia="Calibri" w:cs="Calibri"/>
      <w:sz w:val="22"/>
      <w:szCs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firstLine="720" w:left="0" w:right="0"/>
      <w:jc w:val="both"/>
    </w:pPr>
    <w:rPr>
      <w:lang w:val="zxx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Style28">
    <w:name w:val=" Знак"/>
    <w:basedOn w:val="Normal"/>
    <w:qFormat/>
    <w:pPr>
      <w:spacing w:lineRule="exact" w:line="240" w:before="0" w:after="160"/>
    </w:pPr>
    <w:rPr>
      <w:sz w:val="20"/>
      <w:szCs w:val="20"/>
      <w:lang w:val="zxx" w:eastAsia="zxx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>
    <w:name w:val="Знак1"/>
    <w:basedOn w:val="Normal"/>
    <w:qFormat/>
    <w:pPr>
      <w:spacing w:lineRule="exact" w:line="240" w:before="0" w:after="160"/>
    </w:pPr>
    <w:rPr>
      <w:sz w:val="20"/>
      <w:szCs w:val="20"/>
      <w:lang w:val="zxx" w:eastAsia="zxx"/>
    </w:rPr>
  </w:style>
  <w:style w:type="paragraph" w:styleId="CharCharCarCarCharCharCarCarCharCharCarCarCharChar">
    <w:name w:val=" 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zxx"/>
    </w:rPr>
  </w:style>
  <w:style w:type="paragraph" w:styleId="Style29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kinsoku w:val="true"/>
      <w:overflowPunct w:val="true"/>
      <w:autoSpaceDE w:val="false"/>
      <w:bidi w:val="0"/>
      <w:jc w:val="both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30">
    <w:name w:val="Таблицы (моноширинный)"/>
    <w:basedOn w:val="Normal"/>
    <w:next w:val="Normal"/>
    <w:qFormat/>
    <w:pPr>
      <w:widowControl w:val="false"/>
      <w:autoSpaceDE w:val="false"/>
    </w:pPr>
    <w:rPr>
      <w:rFonts w:ascii="Courier New" w:hAnsi="Courier New" w:cs="Courier New"/>
      <w:sz w:val="24"/>
    </w:rPr>
  </w:style>
  <w:style w:type="paragraph" w:styleId="Style31">
    <w:name w:val="Рецензия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SimSun;宋体" w:cs="Arial"/>
      <w:color w:val="auto"/>
      <w:sz w:val="24"/>
      <w:szCs w:val="24"/>
      <w:lang w:val="ru-RU" w:eastAsia="zh-CN" w:bidi="hi-IN"/>
    </w:rPr>
  </w:style>
  <w:style w:type="paragraph" w:styleId="Style35">
    <w:name w:val="Текст в заданном формате"/>
    <w:basedOn w:val="Normal"/>
    <w:qFormat/>
    <w:pPr/>
    <w:rPr/>
  </w:style>
  <w:style w:type="paragraph" w:styleId="Style110">
    <w:name w:val="Style1"/>
    <w:basedOn w:val="Normal"/>
    <w:qFormat/>
    <w:pPr>
      <w:spacing w:lineRule="exact" w:line="370"/>
      <w:jc w:val="center"/>
    </w:pPr>
    <w:rPr/>
  </w:style>
  <w:style w:type="paragraph" w:styleId="Style51">
    <w:name w:val="Style5"/>
    <w:basedOn w:val="Normal"/>
    <w:qFormat/>
    <w:pPr>
      <w:spacing w:lineRule="exact" w:line="322"/>
      <w:ind w:firstLine="710" w:left="0" w:right="0"/>
      <w:jc w:val="both"/>
    </w:pPr>
    <w:rPr/>
  </w:style>
  <w:style w:type="paragraph" w:styleId="Style61">
    <w:name w:val="Style6"/>
    <w:basedOn w:val="Normal"/>
    <w:qFormat/>
    <w:pPr>
      <w:jc w:val="left"/>
    </w:pPr>
    <w:rPr/>
  </w:style>
  <w:style w:type="paragraph" w:styleId="Style141">
    <w:name w:val="Style14"/>
    <w:basedOn w:val="Normal"/>
    <w:qFormat/>
    <w:pPr>
      <w:spacing w:lineRule="exact" w:line="322"/>
      <w:ind w:firstLine="2150" w:left="0" w:right="0"/>
      <w:jc w:val="left"/>
    </w:pPr>
    <w:rPr/>
  </w:style>
  <w:style w:type="paragraph" w:styleId="Style41">
    <w:name w:val="Style4"/>
    <w:basedOn w:val="Normal"/>
    <w:qFormat/>
    <w:pPr>
      <w:jc w:val="left"/>
    </w:pPr>
    <w:rPr/>
  </w:style>
  <w:style w:type="paragraph" w:styleId="Style111">
    <w:name w:val="Style11"/>
    <w:basedOn w:val="Normal"/>
    <w:qFormat/>
    <w:pPr>
      <w:spacing w:lineRule="exact" w:line="322"/>
      <w:ind w:firstLine="701" w:left="0" w:right="0"/>
      <w:jc w:val="both"/>
    </w:pPr>
    <w:rPr/>
  </w:style>
  <w:style w:type="paragraph" w:styleId="Style101">
    <w:name w:val="Style10"/>
    <w:basedOn w:val="Normal"/>
    <w:qFormat/>
    <w:pPr>
      <w:jc w:val="left"/>
    </w:pPr>
    <w:rPr/>
  </w:style>
  <w:style w:type="paragraph" w:styleId="Style121">
    <w:name w:val="Style12"/>
    <w:basedOn w:val="Normal"/>
    <w:qFormat/>
    <w:pPr>
      <w:spacing w:lineRule="exact" w:line="278"/>
      <w:ind w:firstLine="523" w:left="0" w:right="0"/>
      <w:jc w:val="left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5492</TotalTime>
  <Application>LibreOffice/7.6.4.1$Windows_X86_64 LibreOffice_project/e19e193f88cd6c0525a17fb7a176ed8e6a3e2aa1</Application>
  <AppVersion>15.0000</AppVersion>
  <Pages>14</Pages>
  <Words>2770</Words>
  <Characters>17098</Characters>
  <CharactersWithSpaces>20760</CharactersWithSpaces>
  <Paragraphs>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2010-02-05T08:47:00Z</dcterms:created>
  <dc:creator>юристы</dc:creator>
  <dc:description/>
  <dc:language>ru-RU</dc:language>
  <cp:lastModifiedBy/>
  <cp:lastPrinted>2026-05-28T12:04:01Z</cp:lastPrinted>
  <dcterms:modified xsi:type="dcterms:W3CDTF">2026-05-28T12:03:51Z</dcterms:modified>
  <cp:revision>144</cp:revision>
  <dc:subject/>
  <dc:title>Краснодарский край имеет специфические агрономические и почвенно- климатические условия, формирующие 4 основные зоны с различн</dc:title>
</cp:coreProperties>
</file>