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 w:cs="Times New Roman"/>
          <w:b/>
          <w:b/>
          <w:color w:val="auto"/>
          <w:sz w:val="24"/>
          <w:szCs w:val="20"/>
          <w:lang w:val="ru-RU"/>
        </w:rPr>
      </w:pPr>
      <w:r>
        <w:rPr/>
        <mc:AlternateContent>
          <mc:Choice Requires="wps">
            <w:drawing>
              <wp:inline distT="0" distB="0" distL="0" distR="0">
                <wp:extent cx="651510" cy="82486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95pt;width:51.2pt;height:64.8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eastAsia="Times New Roman" w:cs="Times New Roman"/>
          <w:b/>
          <w:b/>
          <w:color w:val="auto"/>
          <w:sz w:val="24"/>
          <w:szCs w:val="20"/>
          <w:lang w:val="ru-RU"/>
        </w:rPr>
      </w:pPr>
      <w:r>
        <w:rPr>
          <w:rFonts w:eastAsia="Times New Roman" w:cs="Times New Roman"/>
          <w:b/>
          <w:color w:val="auto"/>
          <w:sz w:val="24"/>
          <w:szCs w:val="20"/>
          <w:lang w:val="ru-RU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/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/>
      </w:pPr>
      <w:r>
        <w:rPr>
          <w:rFonts w:eastAsia="Times New Roman" w:cs="Times New Roman"/>
          <w:b/>
          <w:color w:val="auto"/>
          <w:sz w:val="28"/>
          <w:szCs w:val="20"/>
          <w:lang w:val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jc w:val="center"/>
        <w:rPr/>
      </w:pPr>
      <w:r>
        <w:rPr>
          <w:rFonts w:eastAsia="Times New Roman" w:cs="Times New Roman"/>
          <w:b/>
          <w:color w:val="auto"/>
          <w:sz w:val="36"/>
          <w:szCs w:val="20"/>
          <w:lang w:val="ru-RU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28.02.2013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</w:t>
        <w:tab/>
        <w:tab/>
        <w:t xml:space="preserve">                 № 502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color w:val="auto"/>
          <w:sz w:val="24"/>
          <w:szCs w:val="20"/>
          <w:lang w:val="ru-RU"/>
        </w:rPr>
        <w:t>г. Кореновск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Об утверждении плана мероприятий («дорожной карты»)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«Изменения в отраслях социальной сферы муниципального образования Кореновский район, направленные на повышение эффективности сферы культуры» </w:t>
      </w:r>
    </w:p>
    <w:p>
      <w:pPr>
        <w:pStyle w:val="Normal"/>
        <w:shd w:val="clear" w:color="auto" w:fill="FFFFFF"/>
        <w:tabs>
          <w:tab w:val="clear" w:pos="709"/>
          <w:tab w:val="left" w:pos="7377" w:leader="none"/>
        </w:tabs>
        <w:ind w:left="38" w:right="0" w:hanging="0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lang w:eastAsia="ru-RU"/>
        </w:rPr>
        <w:t xml:space="preserve">В целях реализации основных положений Указа Президента Российской Федерации от 7 мая 2012 года № 597 «О мероприятиях по реализации государственной социальной политики» и распоряжения Правительства Российской Федерации от 28 декабря 2012 года № 2606-р, п о с т а н о в л я ю: </w:t>
      </w:r>
    </w:p>
    <w:p>
      <w:pPr>
        <w:pStyle w:val="Normal"/>
        <w:ind w:left="0" w:right="0" w:firstLine="851"/>
        <w:jc w:val="both"/>
        <w:rPr/>
      </w:pPr>
      <w:r>
        <w:rPr>
          <w:rFonts w:eastAsia="Times New Roman"/>
          <w:spacing w:val="-3"/>
          <w:sz w:val="28"/>
          <w:szCs w:val="28"/>
        </w:rPr>
        <w:t xml:space="preserve">1. </w:t>
      </w:r>
      <w:r>
        <w:rPr>
          <w:sz w:val="28"/>
          <w:szCs w:val="28"/>
          <w:lang w:eastAsia="ru-RU"/>
        </w:rPr>
        <w:t>Утвердить: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  <w:lang w:eastAsia="ru-RU"/>
        </w:rPr>
        <w:t>1.1. П</w:t>
      </w:r>
      <w:r>
        <w:rPr>
          <w:sz w:val="28"/>
          <w:szCs w:val="28"/>
        </w:rPr>
        <w:t>лан мероприятий («дорожную карту») «Изменения                             в отраслях социальной сферы муниципального образования Кореновский район, направленные на повышение эффективности сферы культуры» (далее – план) согласно приложению № 1 к настоящему постановлению;</w:t>
      </w:r>
    </w:p>
    <w:p>
      <w:pPr>
        <w:pStyle w:val="Normal"/>
        <w:ind w:left="0" w:right="0" w:firstLine="851"/>
        <w:jc w:val="both"/>
        <w:rPr/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лан мероприятий («дорожную карту») </w:t>
      </w:r>
      <w:r>
        <w:rPr>
          <w:rFonts w:cs="Times New Roman"/>
          <w:sz w:val="28"/>
          <w:szCs w:val="28"/>
        </w:rPr>
        <w:t xml:space="preserve">«Изменения в отрасли «Культура»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/>
        </w:rPr>
        <w:t>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, направленные на повышение эффективности и качества услуг дополнительного образования детей в детских школах искусств» </w:t>
      </w:r>
      <w:r>
        <w:rPr>
          <w:sz w:val="28"/>
          <w:szCs w:val="28"/>
        </w:rPr>
        <w:t>согласно приложению № 2 к настоящему постановлению.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851"/>
        <w:jc w:val="both"/>
        <w:rPr/>
      </w:pPr>
      <w:r>
        <w:rPr>
          <w:rFonts w:eastAsia="Times New Roman"/>
          <w:sz w:val="28"/>
          <w:szCs w:val="28"/>
          <w:lang w:eastAsia="ru-RU"/>
        </w:rPr>
        <w:t>2. Отделу культуры администрации муниципального образования Кореновский район (Тарасова) ежеквартально, до 25-го числа месяца, следующего за отчетным, представлять в управление экономики администрации муниципального образования Кореновский район информацию о ходе реализации планов.</w:t>
      </w:r>
    </w:p>
    <w:p>
      <w:pPr>
        <w:pStyle w:val="Normal"/>
        <w:ind w:left="0" w:right="0" w:firstLine="851"/>
        <w:jc w:val="both"/>
        <w:rPr/>
      </w:pPr>
      <w:r>
        <w:rPr>
          <w:rFonts w:eastAsia="Times New Roman"/>
          <w:spacing w:val="-3"/>
          <w:sz w:val="28"/>
          <w:szCs w:val="28"/>
          <w:lang w:eastAsia="ru-RU"/>
        </w:rPr>
        <w:t>3. Рекомендовать главам поселений муниципального образования Кореновский район до 1 марта текущего года разработать и утвердить планы мероприятий, направленные на повышение эффективности и качества услуг в сфере культуры, и обеспечить их выполнение.</w:t>
      </w:r>
    </w:p>
    <w:p>
      <w:pPr>
        <w:pStyle w:val="Normal"/>
        <w:ind w:left="0" w:right="0" w:firstLine="851"/>
        <w:jc w:val="both"/>
        <w:rPr/>
      </w:pPr>
      <w:r>
        <w:rPr>
          <w:rFonts w:eastAsia="Times New Roman"/>
          <w:sz w:val="28"/>
          <w:szCs w:val="28"/>
          <w:lang w:eastAsia="ru-RU"/>
        </w:rPr>
        <w:t xml:space="preserve">4.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eastAsia="ru-RU"/>
        </w:rPr>
        <w:t>Опубликовать настоящее постановление в средствах массовой       информации и разместить в информационно —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left="40" w:right="0" w:firstLine="811"/>
        <w:jc w:val="both"/>
        <w:rPr/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муниципального образования Кореновский район Т.Г.Ковалеву.</w:t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firstLine="840"/>
        <w:jc w:val="both"/>
        <w:rPr/>
      </w:pPr>
      <w:r>
        <w:rPr>
          <w:rFonts w:eastAsia="Times New Roman"/>
          <w:spacing w:val="-3"/>
          <w:sz w:val="28"/>
          <w:szCs w:val="28"/>
        </w:rPr>
        <w:t>6. Постановление вступает в силу со дня его подписания.</w:t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firstLine="840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firstLine="840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hanging="0"/>
        <w:jc w:val="both"/>
        <w:rPr/>
      </w:pPr>
      <w:r>
        <w:rPr>
          <w:rFonts w:eastAsia="Times New Roman"/>
          <w:spacing w:val="-3"/>
          <w:sz w:val="28"/>
          <w:szCs w:val="28"/>
        </w:rPr>
        <w:t>Глава</w:t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hanging="0"/>
        <w:jc w:val="both"/>
        <w:rPr/>
      </w:pPr>
      <w:r>
        <w:rPr>
          <w:rFonts w:eastAsia="Times New Roman"/>
          <w:spacing w:val="-3"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tabs>
          <w:tab w:val="clear" w:pos="709"/>
          <w:tab w:val="left" w:pos="891" w:leader="none"/>
        </w:tabs>
        <w:ind w:left="40" w:right="0" w:hanging="0"/>
        <w:jc w:val="both"/>
        <w:rPr/>
      </w:pPr>
      <w:r>
        <w:rPr>
          <w:rFonts w:eastAsia="Times New Roman"/>
          <w:spacing w:val="-3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С.А.Голобородько</w:t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-3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/>
        </w:rPr>
      </w:r>
    </w:p>
    <w:p>
      <w:pPr>
        <w:pStyle w:val="Normal"/>
        <w:overflowPunct w:val="false"/>
        <w:ind w:left="9912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   </w:t>
      </w:r>
      <w:r>
        <w:rPr>
          <w:rFonts w:cs="Times New Roman"/>
          <w:kern w:val="2"/>
          <w:sz w:val="28"/>
          <w:szCs w:val="28"/>
        </w:rPr>
        <w:t>ПРИЛОЖЕНИЕ № 1</w:t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eastAsia="Times New Roman"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 </w:t>
      </w:r>
      <w:r>
        <w:rPr>
          <w:rFonts w:cs="Times New Roman"/>
          <w:kern w:val="2"/>
          <w:sz w:val="28"/>
          <w:szCs w:val="28"/>
        </w:rPr>
        <w:t>УТВЕРЖДЕН</w:t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eastAsia="Times New Roman"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</w:t>
      </w:r>
      <w:r>
        <w:rPr>
          <w:rFonts w:eastAsia="Times New Roman" w:cs="Times New Roman"/>
          <w:kern w:val="2"/>
          <w:sz w:val="28"/>
          <w:szCs w:val="28"/>
        </w:rPr>
        <w:t>постановл</w:t>
      </w:r>
      <w:r>
        <w:rPr>
          <w:rFonts w:cs="Times New Roman"/>
          <w:kern w:val="2"/>
          <w:sz w:val="28"/>
          <w:szCs w:val="28"/>
        </w:rPr>
        <w:t>ением администрации</w:t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eastAsia="Times New Roman"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 </w:t>
      </w:r>
      <w:r>
        <w:rPr>
          <w:rFonts w:cs="Times New Roman"/>
          <w:kern w:val="2"/>
          <w:sz w:val="28"/>
          <w:szCs w:val="28"/>
        </w:rPr>
        <w:t>муниципального образования</w:t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eastAsia="Times New Roman"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 </w:t>
      </w:r>
      <w:r>
        <w:rPr>
          <w:rFonts w:cs="Times New Roman"/>
          <w:kern w:val="2"/>
          <w:sz w:val="28"/>
          <w:szCs w:val="28"/>
        </w:rPr>
        <w:t>Кореновский район</w:t>
      </w:r>
    </w:p>
    <w:p>
      <w:pPr>
        <w:pStyle w:val="Normal"/>
        <w:overflowPunct w:val="false"/>
        <w:spacing w:lineRule="atLeast" w:line="20" w:before="0" w:after="0"/>
        <w:ind w:left="9912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</w:rPr>
        <w:t xml:space="preserve">  </w:t>
      </w:r>
      <w:r>
        <w:rPr>
          <w:rFonts w:cs="Times New Roman"/>
          <w:kern w:val="2"/>
          <w:sz w:val="28"/>
          <w:szCs w:val="28"/>
        </w:rPr>
        <w:t>от 28.02.2013 № 502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ПЛАН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мероприятий («дорожная карта») «Изменения в отраслях социальной сферы муниципального образования Кореновский район, направленные на повышение эффективности сферы культуры» 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I. Цели разработки «дорожной карты»</w:t>
      </w:r>
    </w:p>
    <w:p>
      <w:pPr>
        <w:pStyle w:val="Normal"/>
        <w:overflowPunct w:val="false"/>
        <w:spacing w:lineRule="auto" w:line="240" w:before="0" w:after="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Целями реализации плана мероприятий («дорожной карты») «Изменения в отраслях социальной сферы муниципального образования Кореновский район, направленные на повышение эффективности сферы культуры» (далее - «дорожная карта») являются: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1) повышение эффективности муниципальных услуг в сфере культуры;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2) установление механизмов зависимости уровня оплаты труда работников учреждений культуры от количества               и качества предоставляемых населению муниципальных услуг;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3) развитие и сохранение кадрового потенциала учреждений культуры;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4) повышение престижности и привлекательности профессий в сфере культуры;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5)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>
      <w:pPr>
        <w:pStyle w:val="Normal"/>
        <w:overflowPunct w:val="false"/>
        <w:spacing w:lineRule="auto" w:line="240" w:before="0" w:after="0"/>
        <w:jc w:val="both"/>
        <w:rPr>
          <w:rFonts w:eastAsia="Times New Roman" w:cs="Times New Roman"/>
          <w:i/>
          <w:i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6) создание благоприятных условий для устойчивого развития сферы культуры.</w:t>
      </w:r>
    </w:p>
    <w:p>
      <w:pPr>
        <w:pStyle w:val="Normal"/>
        <w:tabs>
          <w:tab w:val="clear" w:pos="709"/>
          <w:tab w:val="left" w:pos="851" w:leader="none"/>
        </w:tabs>
        <w:overflowPunct w:val="false"/>
        <w:spacing w:lineRule="auto" w:line="240" w:before="0" w:after="0"/>
        <w:ind w:left="0" w:right="0" w:firstLine="510"/>
        <w:jc w:val="both"/>
        <w:rPr>
          <w:rFonts w:cs="Times New Roman"/>
          <w:kern w:val="2"/>
          <w:sz w:val="28"/>
          <w:szCs w:val="28"/>
        </w:rPr>
      </w:pPr>
      <w:r>
        <w:rPr>
          <w:rFonts w:eastAsia="Times New Roman" w:cs="Times New Roman"/>
          <w:i/>
          <w:kern w:val="2"/>
          <w:sz w:val="28"/>
          <w:szCs w:val="28"/>
        </w:rPr>
        <w:t xml:space="preserve"> 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II. Проведение структурных реформ в сфере культуры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В рамках структурных реформ предусматривается:</w:t>
      </w:r>
    </w:p>
    <w:p>
      <w:pPr>
        <w:sectPr>
          <w:type w:val="nextPage"/>
          <w:pgSz w:orient="landscape" w:w="16838" w:h="11906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false"/>
        <w:spacing w:lineRule="auto" w:line="240" w:before="0" w:after="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1) повышение качества и расширение спектра муниципальных услуг в сфере культуры;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</w:rPr>
      </w:pPr>
      <w:r>
        <w:rPr>
          <w:rFonts w:cs="Times New Roman"/>
          <w:kern w:val="2"/>
          <w:sz w:val="28"/>
          <w:szCs w:val="28"/>
        </w:rPr>
        <w:t>2</w:t>
      </w:r>
    </w:p>
    <w:p>
      <w:pPr>
        <w:pStyle w:val="Normal"/>
        <w:overflowPunct w:val="false"/>
        <w:spacing w:lineRule="auto" w:line="240" w:before="0" w:after="0"/>
        <w:rPr>
          <w:rFonts w:cs="Times New Roman"/>
          <w:kern w:val="2"/>
        </w:rPr>
      </w:pPr>
      <w:r>
        <w:rPr>
          <w:rFonts w:cs="Times New Roman"/>
          <w:kern w:val="2"/>
        </w:rPr>
      </w:r>
    </w:p>
    <w:p>
      <w:pPr>
        <w:pStyle w:val="Normal"/>
        <w:overflowPunct w:val="false"/>
        <w:spacing w:lineRule="auto" w:line="240" w:before="0" w:after="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2) увеличение доступности к культурному продукту путем информатизации отрасли (создание электронных баз библиотек, виртуальных музеев, создание сайта и своевременное наполнение электронной базы в сети «Интернет» (далее - сеть «Интернет»);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3) формирование конкурентной среды в отрасли культуры путем расширения целевой поддержки творческих проектов организаций всех форм собственности;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4) создание условий для творческой самореализации жителей муниципального образования Кореновский район;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5) вовлечение населения Кубани в создание и продвижение культурного продукта;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iCs/>
          <w:color w:val="000000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6) участие сферы культуры в формировании комфортной среды жизнедеятельности населенных пунктов района;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iCs/>
          <w:color w:val="000000"/>
          <w:kern w:val="2"/>
          <w:sz w:val="28"/>
          <w:szCs w:val="28"/>
        </w:rPr>
        <w:tab/>
        <w:t>7) увеличение интеграции культуры и искусства муниципального образования Кореновский район в российское и мировое культурное пространство, п</w:t>
      </w:r>
      <w:r>
        <w:rPr>
          <w:rFonts w:cs="Times New Roman"/>
          <w:kern w:val="2"/>
          <w:sz w:val="28"/>
          <w:szCs w:val="28"/>
        </w:rPr>
        <w:t>опуляризация территории Кубани во внутреннем и внешнем культурно - туристическом пространстве.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III. Целевые показатели (индикаторы) развития сферы культуры и меры, обеспечивающие их достижение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1. С ростом эффективности и качества оказываемых услуг будут достигнуты следующие целевые показатели (индикаторы):</w:t>
      </w:r>
    </w:p>
    <w:p>
      <w:pPr>
        <w:pStyle w:val="Normal"/>
        <w:overflowPunct w:val="false"/>
        <w:spacing w:lineRule="auto" w:line="240" w:before="24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1) увеличение количества библиографических записей в электронных каталогах муниципальных библиотек муниципального образования Кореновский район (по сравнению с предыдущим годом) (процентов):</w:t>
      </w:r>
    </w:p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2,5</w:t>
            </w:r>
          </w:p>
        </w:tc>
      </w:tr>
    </w:tbl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2) увеличение доли общедоступных библиотек, подключенных к сети «Интернет», в общем количестве муниципальных библиотек муниципального образования Кореновский район (процентов):</w:t>
      </w:r>
    </w:p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56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60</w:t>
            </w:r>
          </w:p>
        </w:tc>
      </w:tr>
    </w:tbl>
    <w:p>
      <w:pPr>
        <w:pStyle w:val="Normal"/>
        <w:pageBreakBefore w:val="false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3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3) увеличение количества представленных (во всех формах) зрителю предметов основного фонда историко - краеведческого музея Кореновского городского поселения по отношению к 2012 году (единиц):</w:t>
      </w:r>
    </w:p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208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315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420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425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530</w:t>
            </w:r>
          </w:p>
        </w:tc>
      </w:tr>
    </w:tbl>
    <w:p>
      <w:pPr>
        <w:pStyle w:val="Normal"/>
        <w:pageBreakBefore w:val="false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 xml:space="preserve">4) посещаемость историко - краеведческого музея Кореновского городского поселения (тысяч человек  в год): </w:t>
      </w:r>
    </w:p>
    <w:p>
      <w:pPr>
        <w:pStyle w:val="Normal"/>
        <w:tabs>
          <w:tab w:val="clear" w:pos="709"/>
          <w:tab w:val="left" w:pos="851" w:leader="none"/>
        </w:tabs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>
          <w:trHeight w:val="315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10700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11315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11502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11627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tabs>
          <w:tab w:val="clear" w:pos="709"/>
          <w:tab w:val="left" w:pos="0" w:leader="none"/>
        </w:tabs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5) увеличение количества выставок и выставочных проектов, осуществляемых муниципальным музеем Кореновского городского поселения (процентов по отношению к 2012 году):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35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bidi="ar-SA"/>
              </w:rPr>
              <w:t>42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6) увеличение числа зрителей киносеансов (по сравнению с предыдущим годом) (процентов):</w:t>
      </w:r>
    </w:p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50</w:t>
            </w:r>
          </w:p>
        </w:tc>
      </w:tr>
    </w:tbl>
    <w:p>
      <w:pPr>
        <w:pStyle w:val="Normal"/>
        <w:tabs>
          <w:tab w:val="clear" w:pos="709"/>
          <w:tab w:val="left" w:pos="851" w:leader="none"/>
        </w:tabs>
        <w:overflowPunct w:val="false"/>
        <w:spacing w:lineRule="auto" w:line="240" w:before="0" w:after="0"/>
        <w:ind w:left="0" w:right="0" w:firstLine="851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7) увеличение числа участников клубных формирований учреждений культурно-досугового типа (по сравнению с предыдущим годом) (процентов):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3,4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3,8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4,0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color w:val="0000FF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4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color w:val="0000FF"/>
          <w:kern w:val="2"/>
          <w:sz w:val="28"/>
          <w:szCs w:val="28"/>
        </w:rPr>
      </w:pPr>
      <w:r>
        <w:rPr>
          <w:rFonts w:cs="Times New Roman"/>
          <w:color w:val="0000FF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8) повышение уровня удовлетворенности населения муниципального образования Кореновского района качеством предоставления муниципальных услуг в сфере культуры (процентов):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82,4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82,5</w:t>
            </w:r>
          </w:p>
        </w:tc>
      </w:tr>
    </w:tbl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9) увеличение доли детей, привлекаемых к участию в творческих мероприятиях, в общем числе детей  (процентов):</w:t>
      </w:r>
    </w:p>
    <w:p>
      <w:pPr>
        <w:pStyle w:val="Normal"/>
        <w:tabs>
          <w:tab w:val="clear" w:pos="709"/>
          <w:tab w:val="left" w:pos="851" w:leader="none"/>
        </w:tabs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552"/>
        <w:gridCol w:w="2551"/>
        <w:gridCol w:w="2410"/>
        <w:gridCol w:w="2269"/>
        <w:gridCol w:w="26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83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85</w:t>
            </w:r>
          </w:p>
        </w:tc>
      </w:tr>
    </w:tbl>
    <w:p>
      <w:pPr>
        <w:pStyle w:val="Normal"/>
        <w:overflowPunct w:val="false"/>
        <w:spacing w:lineRule="auto" w:line="240" w:before="24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2. Мерами, обеспечивающими достижение целевых показателей (индикаторов) развития сферы культуры, являются: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1) создание механизма стимулирования работников учреждений культуры, оказывающих услуги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муниципальных услуг;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 xml:space="preserve">2) поэтапный рост оплаты труда работников учреждений культуры, достижение целевых показателей                                          по доведению уровня оплаты труда (средней заработной платы) работников учреждений культуры до средней заработной платы по региону в соответствии с Указом Президента Российской Федерации от 7 мая 2012 года № 597                     «О мероприятиях по реализации государственной социальной политики»; 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3) обновление квалификационных требований к работникам, переобучение, повышение квалификации, приток квалифицированных кадров, сохранение и развитие кадрового потенциала работников сферы культуры;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4) оптимизация ресурсов и реорганизация неэффективных учреждений культуры.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IV. Мероприятия по совершенствованию оплаты труда работников учреждений культуры</w:t>
      </w:r>
    </w:p>
    <w:p>
      <w:pPr>
        <w:pStyle w:val="Normal"/>
        <w:overflowPunct w:val="false"/>
        <w:spacing w:lineRule="auto" w:line="240" w:before="0" w:after="0"/>
        <w:ind w:left="0" w:right="0" w:firstLine="51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 xml:space="preserve">1. Разработка и проведение мероприятий по совершенствованию оплаты труда работников учреждений культуры 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5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осуществляются с учетом мероприятий Плана по выполнению поручений и достижению целевых показателей социально - экономического развития, установленных отдельными указами Президента Российской Федерации, на территории Краснодарского края, утвержденного распоряжением главы администрации (губернатора) Краснодарского края от 29 ноября 2012 года № 1136-р «О мерах по реализации отдельных указов Президента Российской Федерации от 7 мая 2012 года на территории Краснодарского края». </w:t>
      </w:r>
    </w:p>
    <w:p>
      <w:pPr>
        <w:pStyle w:val="Normal"/>
        <w:tabs>
          <w:tab w:val="clear" w:pos="709"/>
          <w:tab w:val="left" w:pos="851" w:leader="none"/>
        </w:tabs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Учитывая специфику деятельности учреждений культуры, при планировании размеров средств, направляемых                 на повышение заработной платы работников, в качестве приоритетных рассматриваются библиотеки, культурно - 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2. 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«динамика темпов роста средней заработной платы работников муниципальных учреждений культуры к предыдущему году,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политики»:</w:t>
      </w:r>
    </w:p>
    <w:p>
      <w:pPr>
        <w:pStyle w:val="Normal"/>
        <w:overflowPunct w:val="false"/>
        <w:spacing w:lineRule="auto" w:line="240" w:before="0" w:after="0"/>
        <w:ind w:left="0" w:right="0" w:firstLine="851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986" w:type="dxa"/>
        <w:jc w:val="left"/>
        <w:tblInd w:w="-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63"/>
        <w:gridCol w:w="2464"/>
        <w:gridCol w:w="2465"/>
        <w:gridCol w:w="2464"/>
        <w:gridCol w:w="2465"/>
        <w:gridCol w:w="2664"/>
      </w:tblGrid>
      <w:tr>
        <w:trPr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116,4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117,6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122,5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126,8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127,7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napToGrid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130,6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center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V. Основные мероприятия отдела  культуры муниципального образования Кореновский район, направленные на повышение эффективности и качества предоставляемых услуг в сфере культуры, связанные с переходом на эффективный контракт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57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39"/>
        <w:gridCol w:w="2086"/>
        <w:gridCol w:w="3249"/>
      </w:tblGrid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Мероприятия 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Срок исполнения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Ответственный исполнитель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145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I. Совершенствование системы оплаты труда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1.1. Обеспечение методическим сопровождением деятельности учреждений культуры 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до 10 марта 2013 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spacing w:val="-8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</w:rPr>
              <w:t xml:space="preserve">Отдел культуры </w:t>
            </w:r>
          </w:p>
        </w:tc>
      </w:tr>
      <w:tr>
        <w:trPr/>
        <w:tc>
          <w:tcPr>
            <w:tcW w:w="1457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spacing w:val="-8"/>
                <w:kern w:val="2"/>
                <w:sz w:val="28"/>
                <w:szCs w:val="28"/>
              </w:rPr>
              <w:t>6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муниципального образования Кореновский район по разработке </w:t>
            </w:r>
            <w:r>
              <w:rPr>
                <w:rFonts w:cs="Times New Roman"/>
                <w:spacing w:val="-8"/>
                <w:kern w:val="2"/>
                <w:sz w:val="20"/>
              </w:rPr>
              <w:t>показателей эффективности деятельности учреждений, их руководителей и работников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администрации муниципального образования Кореновский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1.2. Разработка (изменение) </w:t>
            </w:r>
            <w:r>
              <w:rPr>
                <w:rFonts w:cs="Times New Roman"/>
                <w:spacing w:val="-8"/>
                <w:kern w:val="2"/>
                <w:sz w:val="20"/>
              </w:rPr>
              <w:t xml:space="preserve">показателей деятельности муниципальных учреждений </w:t>
            </w:r>
            <w:r>
              <w:rPr>
                <w:rFonts w:cs="Times New Roman"/>
                <w:kern w:val="2"/>
                <w:sz w:val="20"/>
              </w:rPr>
              <w:t xml:space="preserve">культуры муниципального образования Кореновский район </w:t>
            </w:r>
            <w:r>
              <w:rPr>
                <w:rFonts w:cs="Times New Roman"/>
                <w:spacing w:val="-8"/>
                <w:kern w:val="2"/>
                <w:sz w:val="20"/>
              </w:rPr>
              <w:t>и их руководителей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ежегодно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1.3. Направление в учреждения культуры муниципального образования Кореновский район методических рекомендаций по установлению </w:t>
            </w:r>
            <w:r>
              <w:rPr>
                <w:rFonts w:cs="Times New Roman"/>
                <w:spacing w:val="-8"/>
                <w:kern w:val="2"/>
                <w:sz w:val="20"/>
              </w:rPr>
              <w:t>показателей эффективности деятельности работников учреждений культуры по основным категориям работников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май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1.4. Внесение изменений в постановление главы администрации муниципального образования Кореновский район от 26 ноября 2008  года №1509 «Об утверждении положения об оплате труда работников муниципальных учреждений культуры  и муниципальных образовательных учреждений дополнительного образования детей муниципального образования Кореновский район» (с изменениями,внесенными постановлением администрации муниципального образования Кореновский район от 21 февраля 2012 года № 409)» в части совершенствования системы оплаты труда работников муниципальных учреждений культуры и достижения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показателей повышения оплаты труда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II</w:t>
            </w:r>
            <w:r>
              <w:rPr>
                <w:rFonts w:cs="Times New Roman"/>
                <w:kern w:val="2"/>
                <w:sz w:val="20"/>
              </w:rPr>
              <w:t xml:space="preserve"> – </w:t>
            </w:r>
            <w:r>
              <w:rPr>
                <w:rFonts w:cs="Times New Roman"/>
                <w:kern w:val="2"/>
                <w:sz w:val="20"/>
                <w:lang w:val="en-US"/>
              </w:rPr>
              <w:t>III</w:t>
            </w:r>
            <w:r>
              <w:rPr>
                <w:rFonts w:cs="Times New Roman"/>
                <w:kern w:val="2"/>
                <w:sz w:val="20"/>
              </w:rPr>
              <w:t xml:space="preserve">  кварталы 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1.5. Подготовка и направление в администрации поселений муниципального 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</w:rPr>
              <w:t xml:space="preserve">Отдел культуры </w:t>
            </w:r>
          </w:p>
        </w:tc>
      </w:tr>
      <w:tr>
        <w:trPr/>
        <w:tc>
          <w:tcPr>
            <w:tcW w:w="1457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7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образования Кореновский район рекомендаций по внесению изменений в муниципальные нормативные правовые акты в части совершенствования систем оплаты труда работников муниципальных учреждений культуры и достижения показателей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повышения оплаты труда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администрации муниципального образования Кореновский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1.6. Проведение мероприятий по формированию независимой системы оценки качества работы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lang w:val="en-US"/>
              </w:rPr>
            </w:pPr>
            <w:r>
              <w:rPr>
                <w:rFonts w:cs="Times New Roman"/>
                <w:kern w:val="2"/>
                <w:sz w:val="20"/>
              </w:rPr>
              <w:t>муниципальных учреждений культуры муниципального образования Кореновский район, оказывающих муниципальные услуги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квартал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1.7. Направление в муниципальные учреждения культуры муниципального образования Кореновский район типовых отраслевых норм труда и методических рекомендаций по разработке систем нормирования труда в учреждениях культуры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II. Создание прозрачного механизма оплаты труда руководителей муниципальных учреждений культуры 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2.1. Подготовка и направление в муниципальные учреждения культуры муниципального образования Кореновский район разъяснений по изменениям, внесенным в отдельные законодательные акты Российской Федерации в части создания прозрачного механизма оплаты труда руководителей учреждений и представления руководителями учреждений сведений о доходах, об имуществе и обязательствах имущественного характера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квартал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2.2. Направление в муниципальные учреждения культуры муниципального образования Кореновский район типовой формы трудового договора, заключаемого с руководителями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lang w:val="en-US"/>
              </w:rPr>
            </w:pPr>
            <w:r>
              <w:rPr>
                <w:rFonts w:cs="Times New Roman"/>
                <w:kern w:val="2"/>
                <w:sz w:val="20"/>
              </w:rPr>
              <w:t>учреждений, и методических рекомендаций по их заполнению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квартал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администрации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1457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2.3. Подготовка и направление в муниципальные учреждения культуры муниципального образования Кореновский район разъяснений порядка представления сведений о доходах, об имуществе и обязательствах имущественного характера граждан, претендующих на замещение должностей руководителя муниципального учреждения, а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также граждан, замещающих указанные должности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квартал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2.4. Подготовка и направление в учреждения культуры муниципального образования Кореновский район разъяснений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руководителя муниципального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lang w:val="en-US"/>
              </w:rPr>
            </w:pPr>
            <w:r>
              <w:rPr>
                <w:rFonts w:cs="Times New Roman"/>
                <w:kern w:val="2"/>
                <w:sz w:val="20"/>
              </w:rPr>
              <w:t>учреждения, а также гражданами, замещающими указанные должности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– </w:t>
            </w:r>
            <w:r>
              <w:rPr>
                <w:rFonts w:cs="Times New Roman"/>
                <w:kern w:val="2"/>
                <w:sz w:val="20"/>
                <w:lang w:val="en-US"/>
              </w:rPr>
              <w:t>II</w:t>
            </w:r>
            <w:r>
              <w:rPr>
                <w:rFonts w:cs="Times New Roman"/>
                <w:kern w:val="2"/>
                <w:sz w:val="20"/>
              </w:rPr>
              <w:t xml:space="preserve">  кварталы 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администрации муниципального образования Кореновский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2.5. Проведение работы по заключению трудовых договоров с руководителями учреждений культуры муниципального образования Кореновский район в соответствии с типовой формой договора, разработанной Министерством труда и Министерством культуры Российской Федерации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III. Развитие кадрового потенциала муниципальных учреждений культуры 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3.1. Подготовка разъяснений, связанных с изменением (актуализацией) квалификационных требований к работникам учреждений культуры и внедрением профессиональных стандартов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2014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3.2. Проведение мероприятий по повышению квалификации и переподготовке работников учреждений культуры с целью обеспечения соответствия работников современным квалификационным требованиям  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администрации муниципального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</w:rPr>
              <w:t>образования Кореновский район</w:t>
            </w:r>
          </w:p>
        </w:tc>
      </w:tr>
      <w:tr>
        <w:trPr/>
        <w:tc>
          <w:tcPr>
            <w:tcW w:w="1457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9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lang w:val="en-US"/>
              </w:rPr>
            </w:pPr>
            <w:r>
              <w:rPr>
                <w:rFonts w:cs="Times New Roman"/>
                <w:kern w:val="2"/>
                <w:sz w:val="20"/>
              </w:rPr>
              <w:t>3.3. Подготовка и направление в муниципальные учреждения культуры муниципального образования Кореновский район разъяснений порядка оформления трудовых отношений с работниками учреждений при переходе на «эффективный контракт»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</w:t>
            </w:r>
            <w:r>
              <w:rPr>
                <w:rFonts w:cs="Times New Roman"/>
                <w:kern w:val="2"/>
                <w:sz w:val="20"/>
              </w:rPr>
              <w:t xml:space="preserve"> – </w:t>
            </w:r>
            <w:r>
              <w:rPr>
                <w:rFonts w:cs="Times New Roman"/>
                <w:kern w:val="2"/>
                <w:sz w:val="20"/>
                <w:lang w:val="en-US"/>
              </w:rPr>
              <w:t>II</w:t>
            </w:r>
            <w:r>
              <w:rPr>
                <w:rFonts w:cs="Times New Roman"/>
                <w:kern w:val="2"/>
                <w:sz w:val="20"/>
              </w:rPr>
              <w:t xml:space="preserve">  кварталы 2013 года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3.4. Проведение мероприятий по организации заключения дополнительных соглашений к трудовым договорам (новых трудовых договоров) с работниками муниципальных учреждений культуры муниципального образования Кореновский район, оказывающих муниципальные услуги, в связи с введением «эффективного контракта»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ежегодно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145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IV. Достижение целевых показателей повышения средней заработной платы работников учреждений культуры 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4.1. Участие в работе районной комиссии по мониторингу достижения целевых показателей социально - экономического развития и выполнению поручений отдельных указов Президента Российской Федерации на территории  муниципального образования Кореновский район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постоянно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Управление экономики, отдел культуры администрации муниципального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4.2. Уточнение объемов расходов бюджетов всех уровней на повышение заработной платы работников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 с учетом возможного привлечения не менее одной трети средств, получаемых за счет реорганизации неэффективных учреждений, а также средств от приносящей доход деятельности учреждений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Финансовое управление, 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4.3. Сбор и мониторинг отчетности о показателях заработной платы работников муниципальных учреждений культуры в соответствии с утвержденным Росстатом федеральным статистическим наблюдением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14574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10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4.1. Участие в работе районной комиссии по мониторингу достижения целевых показателей социально - экономического развития и выполнению поручений отдельных указов Президента Российской Федерации на территории  муниципального образования Кореновский район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постоянно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Управление экономики, отдел культуры администрации муниципального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4.2. Уточнение объемов расходов бюджетов всех уровней на повышение заработной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платы работников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 с учетом возможного привлечения не менее одной трети средств, получаемых за счет реорганизации неэффективных учреждений, а также средств от приносящей доход деятельности учреждений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Финансовое управление, 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92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4.3. Сбор и мониторинг отчетности о показателях заработной платы работников муниципальных учреждений культуры в соответствии с утвержденным Росстатом федеральным статистическим наблюдением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Заместитель главы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муниципального образования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Т.Г.Ковалева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sectPr>
          <w:type w:val="nextPage"/>
          <w:pgSz w:orient="landscape" w:w="16838" w:h="11906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ПРИЛОЖЕНИЕ № 2</w:t>
      </w:r>
    </w:p>
    <w:p>
      <w:pPr>
        <w:pStyle w:val="Normal"/>
        <w:overflowPunct w:val="false"/>
        <w:spacing w:lineRule="auto" w:line="24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УТВЕРЖДЕН </w:t>
      </w:r>
    </w:p>
    <w:p>
      <w:pPr>
        <w:pStyle w:val="Normal"/>
        <w:overflowPunct w:val="false"/>
        <w:spacing w:lineRule="auto" w:line="240" w:before="0" w:after="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постановлением администрации</w:t>
      </w:r>
    </w:p>
    <w:p>
      <w:pPr>
        <w:pStyle w:val="Normal"/>
        <w:overflowPunct w:val="false"/>
        <w:spacing w:lineRule="auto" w:line="240" w:before="0" w:after="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муниципального образования</w:t>
      </w:r>
    </w:p>
    <w:p>
      <w:pPr>
        <w:pStyle w:val="Normal"/>
        <w:overflowPunct w:val="false"/>
        <w:spacing w:lineRule="auto" w:line="240" w:before="0" w:after="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Кореновский район</w:t>
      </w:r>
    </w:p>
    <w:p>
      <w:pPr>
        <w:pStyle w:val="Normal"/>
        <w:overflowPunct w:val="false"/>
        <w:spacing w:lineRule="auto" w:line="240" w:before="0" w:after="0"/>
        <w:ind w:left="9217" w:right="0" w:hanging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от 28.02.2013 2013 года № 502</w:t>
      </w:r>
    </w:p>
    <w:p>
      <w:pPr>
        <w:pStyle w:val="Normal"/>
        <w:overflowPunct w:val="false"/>
        <w:spacing w:lineRule="auto" w:line="240"/>
        <w:ind w:left="9465" w:right="0" w:hanging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tLeast" w:line="24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ПЛАН</w:t>
      </w:r>
    </w:p>
    <w:p>
      <w:pPr>
        <w:pStyle w:val="Normal"/>
        <w:overflowPunct w:val="false"/>
        <w:spacing w:lineRule="atLeast" w:line="24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мероприятий («дорожная карта») </w:t>
      </w:r>
    </w:p>
    <w:p>
      <w:pPr>
        <w:pStyle w:val="Normal"/>
        <w:overflowPunct w:val="false"/>
        <w:spacing w:lineRule="auto" w:line="24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«Изменения в отрасли «Культура» </w:t>
      </w:r>
      <w:r>
        <w:rPr>
          <w:rFonts w:eastAsia="Times New Roman" w:cs="Times New Roman"/>
          <w:kern w:val="2"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kern w:val="2"/>
          <w:sz w:val="28"/>
          <w:szCs w:val="28"/>
        </w:rPr>
        <w:t>, направленные на повышение эффективности и качества услуг дополнительного образования детей в детских школах искусств»</w:t>
      </w:r>
    </w:p>
    <w:p>
      <w:pPr>
        <w:pStyle w:val="Normal"/>
        <w:overflowPunct w:val="false"/>
        <w:spacing w:lineRule="atLeast" w:line="240"/>
        <w:ind w:left="0" w:right="0" w:firstLine="709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 xml:space="preserve">Целями реализации плана мероприятий («дорожной карты») «Изменения в отраслях социальной сферы </w:t>
      </w:r>
      <w:r>
        <w:rPr>
          <w:rFonts w:eastAsia="Times New Roman" w:cs="Times New Roman"/>
          <w:kern w:val="2"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kern w:val="2"/>
          <w:sz w:val="28"/>
          <w:szCs w:val="28"/>
        </w:rPr>
        <w:t xml:space="preserve">, направленные на повышение эффективности и качества услуг в учреждениях дополнительного образования детей </w:t>
      </w:r>
      <w:r>
        <w:rPr>
          <w:rFonts w:eastAsia="Times New Roman" w:cs="Times New Roman"/>
          <w:kern w:val="2"/>
          <w:sz w:val="28"/>
          <w:szCs w:val="28"/>
        </w:rPr>
        <w:t>муниципального образования Кореновский район</w:t>
      </w:r>
      <w:r>
        <w:rPr>
          <w:rFonts w:cs="Times New Roman"/>
          <w:kern w:val="2"/>
          <w:sz w:val="28"/>
          <w:szCs w:val="28"/>
        </w:rPr>
        <w:t xml:space="preserve"> - детских школах искусств» (далее –  детские школы искусств) являются: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 xml:space="preserve">1) </w:t>
      </w:r>
      <w:r>
        <w:rPr>
          <w:rFonts w:cs="Times New Roman"/>
          <w:color w:val="000000"/>
          <w:kern w:val="2"/>
          <w:sz w:val="28"/>
          <w:szCs w:val="28"/>
        </w:rPr>
        <w:t>повышение качества жизни</w:t>
      </w:r>
      <w:r>
        <w:rPr>
          <w:rFonts w:cs="Times New Roman"/>
          <w:color w:val="FF0000"/>
          <w:kern w:val="2"/>
          <w:sz w:val="28"/>
          <w:szCs w:val="28"/>
        </w:rPr>
        <w:t xml:space="preserve"> </w:t>
      </w:r>
      <w:r>
        <w:rPr>
          <w:rFonts w:cs="Times New Roman"/>
          <w:kern w:val="2"/>
          <w:sz w:val="28"/>
          <w:szCs w:val="28"/>
        </w:rPr>
        <w:t>детей от 5 до 18 лет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приобщения к здоровому образу жизни, воспитание (формирование) подрастающего поколения в духе культурных традиций страны и Кубани;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3) развитие и сохранение кадрового потенциала детских школ искусств;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4) повышение престижности и привлекательности профессий в сфере дополнительного образования детей;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5) сохранение культурного и исторического наследия народов Кубани и Российской Федерации, обеспечение доступа граждан к культурным ценностям и участию в культурной жизни, реализация творческого потенциала нации;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6) создание благоприятных условий для устойчивого развития образования в сфере культуры.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Достижение целей реализации «дорожной карты» будет осуществляться путем проведения структурных изменений по следующим направлениям:</w:t>
      </w:r>
    </w:p>
    <w:p>
      <w:pPr>
        <w:pStyle w:val="Normal"/>
        <w:overflowPunct w:val="false"/>
        <w:spacing w:lineRule="auto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расширение потенциала системы детских школ искусств:</w:t>
      </w:r>
    </w:p>
    <w:p>
      <w:pPr>
        <w:pStyle w:val="Normal"/>
        <w:overflowPunct w:val="false"/>
        <w:spacing w:lineRule="atLeast" w:line="35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2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развитие многообразия культурно-образовательных моделей, повышение качества образовательного процесса в детских школа искусств;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совершенствование организационно-экономических механизмов обеспечения доступности услуг в детских школах искусств;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повышение эффективности муниципальных образовательных услуг дополнительного образования детей в детских школах искусств;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установление механизмов зависимости уровня оплаты труда руководителей и работников детских школ искусств от количества и качества предоставляемых населению муниципальных услуг;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разработка и внедрение системы оценки качества услуг дополнительного образования в детских школах искусств.</w:t>
      </w:r>
    </w:p>
    <w:p>
      <w:pPr>
        <w:pStyle w:val="Normal"/>
        <w:overflowPunct w:val="false"/>
        <w:spacing w:lineRule="atLeast" w:line="35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>
      <w:pPr>
        <w:pStyle w:val="Normal"/>
        <w:overflowPunct w:val="false"/>
        <w:spacing w:lineRule="atLeast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создание условий для выявления и развития молодых талантов.</w:t>
      </w:r>
    </w:p>
    <w:p>
      <w:pPr>
        <w:pStyle w:val="Normal"/>
        <w:overflowPunct w:val="false"/>
        <w:spacing w:lineRule="atLeast" w:line="240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Создание условий для выявления и развития талантливых и одаренных детей и молодежи включает в себя реализацию Арт-Концепции развития художественного образования в Краснодарском крае (2008-2020 годы) в рамках реализации Концепции общенациональной системы выявления и развития молодых талантов.</w:t>
      </w:r>
    </w:p>
    <w:p>
      <w:pPr>
        <w:pStyle w:val="Normal"/>
        <w:shd w:val="clear" w:color="auto" w:fill="FFFFFF"/>
        <w:overflowPunct w:val="false"/>
        <w:spacing w:lineRule="auto" w:line="24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i/>
          <w:i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2. Целевые показатели (индикаторы) развития сферы дополнительного образования и меры, обеспечивающие их достижение</w:t>
      </w:r>
    </w:p>
    <w:p>
      <w:pPr>
        <w:pStyle w:val="Normal"/>
        <w:overflowPunct w:val="false"/>
        <w:spacing w:lineRule="auto" w:line="240" w:before="0" w:after="0"/>
        <w:jc w:val="center"/>
        <w:rPr>
          <w:rFonts w:cs="Times New Roman"/>
          <w:i/>
          <w:i/>
          <w:kern w:val="2"/>
          <w:sz w:val="28"/>
          <w:szCs w:val="28"/>
        </w:rPr>
      </w:pPr>
      <w:r>
        <w:rPr>
          <w:rFonts w:cs="Times New Roman"/>
          <w:i/>
          <w:kern w:val="2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1. С ростом эффективности и качества оказываемых услуг будут достигнуты следующие целевые показатели (индикаторы):</w:t>
      </w:r>
    </w:p>
    <w:p>
      <w:pPr>
        <w:pStyle w:val="Normal"/>
        <w:overflowPunct w:val="false"/>
        <w:spacing w:lineRule="auto" w:line="240" w:before="24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ab/>
        <w:t>1) динамика темпов роста средней заработной платы работников муниципальных образовательных учреждений дополнительного образования детей муниципального образования Кореновский район (по сравнению с предыдущим годом) (процентов):</w:t>
      </w:r>
    </w:p>
    <w:p>
      <w:pPr>
        <w:pStyle w:val="Normal"/>
        <w:overflowPunct w:val="false"/>
        <w:spacing w:lineRule="auto" w:line="240" w:before="24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p>
      <w:pPr>
        <w:pStyle w:val="Normal"/>
        <w:overflowPunct w:val="false"/>
        <w:spacing w:lineRule="atLeast" w:line="100" w:before="24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3</w:t>
      </w:r>
    </w:p>
    <w:p>
      <w:pPr>
        <w:pStyle w:val="Normal"/>
        <w:overflowPunct w:val="false"/>
        <w:spacing w:lineRule="atLeast" w:line="100" w:before="24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55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9"/>
        <w:gridCol w:w="2551"/>
        <w:gridCol w:w="2565"/>
        <w:gridCol w:w="2399"/>
        <w:gridCol w:w="2265"/>
        <w:gridCol w:w="2555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114,4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121,3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111,2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11,3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116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1" w:leader="none"/>
              </w:tabs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139,7</w:t>
            </w:r>
          </w:p>
        </w:tc>
      </w:tr>
    </w:tbl>
    <w:p>
      <w:pPr>
        <w:pStyle w:val="Normal"/>
        <w:overflowPunct w:val="false"/>
        <w:spacing w:lineRule="auto" w:line="240" w:before="0" w:after="0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color w:val="000000"/>
          <w:kern w:val="2"/>
          <w:sz w:val="28"/>
          <w:szCs w:val="28"/>
        </w:rPr>
      </w:pPr>
      <w:r>
        <w:rPr>
          <w:rFonts w:cs="Times New Roman"/>
          <w:color w:val="000000"/>
          <w:kern w:val="2"/>
          <w:sz w:val="28"/>
          <w:szCs w:val="28"/>
        </w:rPr>
        <w:tab/>
        <w:t>2) Охват детей и молодежи  5-18 лет образовательными программами детских школ искусств (процентов):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color w:val="000000"/>
          <w:kern w:val="2"/>
          <w:sz w:val="28"/>
          <w:szCs w:val="28"/>
        </w:rPr>
      </w:pPr>
      <w:r>
        <w:rPr>
          <w:rFonts w:cs="Times New Roman"/>
          <w:color w:val="000000"/>
          <w:kern w:val="2"/>
          <w:sz w:val="28"/>
          <w:szCs w:val="28"/>
        </w:rPr>
      </w:r>
    </w:p>
    <w:tbl>
      <w:tblPr>
        <w:tblStyle w:val="TableNormal"/>
        <w:tblW w:w="14855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9"/>
        <w:gridCol w:w="2551"/>
        <w:gridCol w:w="2565"/>
        <w:gridCol w:w="2399"/>
        <w:gridCol w:w="2265"/>
        <w:gridCol w:w="2555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>
          <w:trHeight w:val="268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10,3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11,0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11,7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12,5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13,2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ind w:left="0" w:right="0" w:firstLine="708"/>
        <w:jc w:val="both"/>
        <w:rPr>
          <w:rFonts w:cs="Times New Roman"/>
          <w:color w:val="000000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3) Удельный вес учащихся школ искусств, участвующих в фестивалях и конкурсах различного уровня, в общей численности обучающихся в детских школах искусств (процентов):</w:t>
      </w:r>
    </w:p>
    <w:p>
      <w:pPr>
        <w:pStyle w:val="Normal"/>
        <w:overflowPunct w:val="false"/>
        <w:spacing w:lineRule="auto" w:line="240" w:before="0" w:after="0"/>
        <w:ind w:left="0" w:right="0" w:firstLine="708"/>
        <w:jc w:val="both"/>
        <w:rPr>
          <w:rFonts w:cs="Times New Roman"/>
          <w:color w:val="000000"/>
          <w:kern w:val="2"/>
          <w:sz w:val="28"/>
          <w:szCs w:val="28"/>
        </w:rPr>
      </w:pPr>
      <w:r>
        <w:rPr>
          <w:rFonts w:cs="Times New Roman"/>
          <w:color w:val="000000"/>
          <w:kern w:val="2"/>
          <w:sz w:val="28"/>
          <w:szCs w:val="28"/>
        </w:rPr>
      </w:r>
    </w:p>
    <w:tbl>
      <w:tblPr>
        <w:tblStyle w:val="TableNormal"/>
        <w:tblW w:w="14855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9"/>
        <w:gridCol w:w="2551"/>
        <w:gridCol w:w="2565"/>
        <w:gridCol w:w="2399"/>
        <w:gridCol w:w="2236"/>
        <w:gridCol w:w="2584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>
          <w:trHeight w:val="249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55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60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65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70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6"/>
                <w:szCs w:val="26"/>
              </w:rPr>
              <w:t>75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ind w:left="0" w:right="0" w:firstLine="708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4) Число учащихся детских школ искусств, ежегодно удостоенных стипендий, премий, грантов различного уровня (человек):</w:t>
      </w:r>
    </w:p>
    <w:p>
      <w:pPr>
        <w:pStyle w:val="Normal"/>
        <w:overflowPunct w:val="false"/>
        <w:spacing w:lineRule="auto" w:line="240" w:before="0" w:after="0"/>
        <w:ind w:left="0" w:right="0" w:firstLine="708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855" w:type="dxa"/>
        <w:jc w:val="left"/>
        <w:tblInd w:w="-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19"/>
        <w:gridCol w:w="2551"/>
        <w:gridCol w:w="2565"/>
        <w:gridCol w:w="2399"/>
        <w:gridCol w:w="2265"/>
        <w:gridCol w:w="2555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2013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2014 год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2015 год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2016 год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2017 год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2018 год</w:t>
            </w:r>
          </w:p>
        </w:tc>
      </w:tr>
      <w:tr>
        <w:trPr>
          <w:trHeight w:val="249" w:hRule="atLeast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28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30</w:t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exact" w:line="36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3. Мероприятия по повышению эффективности и качества услуг детских школ искусств муниципального образования Кореновский район, соотнесенные с этапами перехода к эффективному контракту</w:t>
      </w:r>
    </w:p>
    <w:p>
      <w:pPr>
        <w:pStyle w:val="Normal"/>
        <w:overflowPunct w:val="false"/>
        <w:spacing w:lineRule="exact" w:line="360" w:before="0" w:after="0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</w:r>
    </w:p>
    <w:tbl>
      <w:tblPr>
        <w:tblStyle w:val="TableNormal"/>
        <w:tblW w:w="1457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0"/>
        <w:gridCol w:w="3555"/>
        <w:gridCol w:w="1785"/>
        <w:gridCol w:w="3713"/>
      </w:tblGrid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Мероприятие 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Ответственные исполнители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Срок реализации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Показатели 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before="0" w:after="0"/>
              <w:jc w:val="left"/>
              <w:rPr>
                <w:kern w:val="2"/>
              </w:rPr>
            </w:pPr>
            <w:r>
              <w:rPr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before="0" w:after="0"/>
              <w:jc w:val="left"/>
              <w:rPr>
                <w:kern w:val="2"/>
              </w:rPr>
            </w:pPr>
            <w:r>
              <w:rPr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before="0" w:after="0"/>
              <w:jc w:val="left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kern w:val="2"/>
              </w:rPr>
              <w:t>4</w:t>
            </w:r>
          </w:p>
        </w:tc>
      </w:tr>
      <w:tr>
        <w:trPr/>
        <w:tc>
          <w:tcPr>
            <w:tcW w:w="1457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4</w:t>
            </w:r>
          </w:p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</w:t>
            </w:r>
          </w:p>
        </w:tc>
      </w:tr>
      <w:tr>
        <w:trPr/>
        <w:tc>
          <w:tcPr>
            <w:tcW w:w="14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I. Расширение потенциала системы детских школ искусств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48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1.1.Разработка и реализация программы (проекта) развития детских школ искусств Арт-Концепции развития художественного образования в Краснодарском крае (2008-2020 годы) в рамках Концепции общенациональной системы выявления и развития молодых талантов, в том числе: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48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000000"/>
                <w:kern w:val="2"/>
                <w:sz w:val="20"/>
              </w:rPr>
              <w:t>Охват детей и молодежи 5-18 лет образовательными программами детских школ искусств;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 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1.1.1. Разработка программы развития детских школ искусств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2014 год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1.1.2. Мониторинг и оценка эффективности реализации программ развития детских школ искусств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2014- 2018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1.2.Совершенствование организационно-экономических механизмов обеспечения доступности услуг детских школ искусств, в том числе: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000000"/>
                <w:kern w:val="2"/>
                <w:sz w:val="20"/>
              </w:rPr>
              <w:t xml:space="preserve">Охват детей и молодежи  5-18 лет  образовательными программами детских школ искусств  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1.2.1 Обновление нормативно правовых актов муниципального образования Кореновский район в соответствии с требованиями санитарных, строительных норм, пожарной безопасности и др. для обеспечения условий для повышения доступности и качества услуг детских школ 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2013 - 2015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5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искусств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1.3.Продвижение современных муниципальных моделей организации дополнительного образования детей в детских школах искусств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2015 - 2017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color w:val="000000"/>
                <w:kern w:val="2"/>
                <w:sz w:val="20"/>
              </w:rPr>
              <w:t>Охват детей и молодежи 5-18 лет  образовательными программами детских школ искусств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1.4. Использование ресурсов в предоставлении услуг дополнительного образования детей: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2013 - 2015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число школ искусств муниципального образования Кореновский район, использующих при реализации программ дополнительного образования детей ресурсы негосударственного сектора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1.4.1. Апробация моделей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1.5.Разработка и внедрение системы оценки качества дополнительного образования детей в детских школах искусств, в том числе: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число школ искусств муниципального образования Кореновский район , в которых оценка деятельности детских школ искусств, их руководителей и основных категорий работников осуществляется на основании показателей эффективности деятельности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1.5.1. Разработка показателей эффективности деятельности детских школ искусств,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1.5.2. Разработка  нормативных актов по утверждению показателей эффективности деятельности детских школ искусств, их 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exact" w:line="30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6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exact" w:line="30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руководителей и основных категорий работников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0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II. Создание условий для выявления и развития молодых талантов  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exact" w:line="30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2.Реализация Арт-Концепции развития художественного образования в Краснодарском крае (2008-2020 годы) в школах искусств муниципального образования Кореновский район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exact" w:line="30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удельный вес учащихся школ искусств, участвующих в фестивалях и конкурсах, выставках различного уровня, в общей численности обучающихся в детских школах искусств;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удельный вес учащихся детских школ искусств, ежегодно удостоенных стипендий, премий, грантов различного уровня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III. Введение эффективного контракта в детских школах искусств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3.1.Разработка и внедрение механизмов эффективного контракта с работниками детских школ искусств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  <w:lang w:val="en-US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  <w:lang w:val="en-US"/>
              </w:rPr>
              <w:t>II</w:t>
            </w:r>
            <w:r>
              <w:rPr>
                <w:rFonts w:cs="Times New Roman"/>
                <w:kern w:val="2"/>
                <w:sz w:val="20"/>
              </w:rPr>
              <w:t xml:space="preserve"> квартал 2013 года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отношение среднемесячной заработной платы педагогических работников детских школ искусств к среднемесячной заработной плате по экономике Краснодарского края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3.1.1.Направление методических рекомендаций по разработке </w:t>
            </w:r>
            <w:r>
              <w:rPr>
                <w:rFonts w:cs="Times New Roman"/>
                <w:spacing w:val="-8"/>
                <w:kern w:val="2"/>
                <w:sz w:val="20"/>
              </w:rPr>
              <w:t>показателей эффективности деятельности детских школ искусств, их руководителей и основных работников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май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3.1.2. Разработка </w:t>
            </w:r>
            <w:r>
              <w:rPr>
                <w:rFonts w:cs="Times New Roman"/>
                <w:spacing w:val="-8"/>
                <w:kern w:val="2"/>
                <w:sz w:val="20"/>
              </w:rPr>
              <w:t xml:space="preserve">показателей деятельности детских 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администрации 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ежегодно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7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spacing w:val="-8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spacing w:val="-8"/>
                <w:kern w:val="2"/>
                <w:sz w:val="20"/>
              </w:rPr>
              <w:t>школ искусств</w:t>
            </w:r>
            <w:r>
              <w:rPr>
                <w:rFonts w:cs="Times New Roman"/>
                <w:kern w:val="2"/>
                <w:sz w:val="20"/>
              </w:rPr>
              <w:t xml:space="preserve"> </w:t>
            </w:r>
            <w:r>
              <w:rPr>
                <w:rFonts w:cs="Times New Roman"/>
                <w:spacing w:val="-8"/>
                <w:kern w:val="2"/>
                <w:sz w:val="20"/>
              </w:rPr>
              <w:t>и их руководителей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май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года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3.1.3. Проведение работы по заключению трудовых договоров с руководителями и работниками детских школ искусств в соответствии с типовой формой договора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94"/>
              <w:jc w:val="left"/>
              <w:rPr>
                <w:rFonts w:cs="Times New Roman"/>
                <w:kern w:val="2"/>
              </w:rPr>
            </w:pPr>
            <w:r>
              <w:rPr>
                <w:rFonts w:eastAsia="Times New Roman" w:cs="Times New Roman"/>
                <w:kern w:val="2"/>
                <w:sz w:val="20"/>
              </w:rPr>
              <w:t xml:space="preserve"> </w:t>
            </w:r>
            <w:r>
              <w:rPr>
                <w:rFonts w:cs="Times New Roman"/>
                <w:kern w:val="2"/>
                <w:sz w:val="20"/>
              </w:rPr>
              <w:t>3.1.3.Информационное сопровождение мероприятий по введению эффективного контракта в детских школах искусств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94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2013 - 2018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IV. Достижение целевых показателей повышения средней заработной платы работников детских школ искусств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4.1. Уточнение объемов расходов бюджетов всех уровней на повышение заработной платы работников детских школ искусств в соответствии с Указом Президента Российской Федерации от 7 мая 2012 года № 597«О мероприятиях по реализации государственной социальной политики»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94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Финансовое управление, 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отношение среднемесячной заработной платы педагогических работников детских школ искусств к среднемесячной заработной плате по экономике Краснодарского края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4.2. Сбор и мониторинг отчетности о показателях заработной платы работников детских школ искусств в соответствии с утвержденным Росстатом федеральным статистическим наблюдением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ind w:left="0" w:right="0" w:hanging="94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4.3 Мониторинг выполнения мероприятий, 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Отдел культуры администрации 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 xml:space="preserve">15 января,              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1457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8"/>
                <w:szCs w:val="28"/>
              </w:rPr>
              <w:t>8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</w:t>
            </w:r>
          </w:p>
        </w:tc>
        <w:tc>
          <w:tcPr>
            <w:tcW w:w="3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</w:t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ind w:left="0" w:right="0" w:hanging="94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15 июля              2013 – 2018 годов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направленных на повышение оплаты труда работников культуры, в муниципальном образовании Кореновский район в 2012 - 2018 годах</w:t>
            </w:r>
          </w:p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  <w:tr>
        <w:trPr/>
        <w:tc>
          <w:tcPr>
            <w:tcW w:w="55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left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4.6. Информационное сопровождение программы поэтапного повышения заработной платы работников детских школ искусств (проведение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tLeast" w:line="240"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  <w:t>2013 – 2018 годы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overflowPunct w:val="false"/>
              <w:snapToGrid w:val="false"/>
              <w:spacing w:before="0" w:after="0"/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  <w:sz w:val="20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Заместитель главы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муниципального образования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Т.Г.Ковалева</w:t>
      </w:r>
    </w:p>
    <w:p>
      <w:pPr>
        <w:pStyle w:val="Normal"/>
        <w:overflowPunct w:val="false"/>
        <w:spacing w:lineRule="auto" w:line="240" w:before="0" w:after="0"/>
        <w:jc w:val="both"/>
        <w:rPr>
          <w:rFonts w:cs="Times New Roman"/>
          <w:kern w:val="2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Style12" w:customStyle="1">
    <w:name w:val="Символ нумерации"/>
    <w:qFormat/>
    <w:rPr/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Lohit Hind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>
      <w:kern w:val="2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LibreOffice/7.0.1.2$Windows_X86_64 LibreOffice_project/7cbcfc562f6eb6708b5ff7d7397325de9e764452</Application>
  <Pages>25</Pages>
  <Words>3620</Words>
  <Characters>26435</Characters>
  <CharactersWithSpaces>29974</CharactersWithSpaces>
  <Paragraphs>521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2013-02-13T12:09:37Z</dcterms:created>
  <dc:creator>shulepova</dc:creator>
  <dc:description/>
  <dc:language>ru-RU</dc:language>
  <cp:lastModifiedBy/>
  <dcterms:modified xsi:type="dcterms:W3CDTF">2022-11-22T14:55:35Z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