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jc w:val="center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jc w:val="center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  <w:t>от 02.10.2019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№ 1330</w:t>
      </w:r>
    </w:p>
    <w:p>
      <w:pPr>
        <w:pStyle w:val="P6"/>
        <w:spacing w:before="0" w:after="0"/>
        <w:jc w:val="both"/>
        <w:rPr>
          <w:sz w:val="28"/>
          <w:szCs w:val="28"/>
        </w:rPr>
      </w:pPr>
      <w:r>
        <w:rPr>
          <w:sz w:val="24"/>
          <w:szCs w:val="24"/>
          <w:lang w:bidi="zxx"/>
        </w:rPr>
        <w:t xml:space="preserve">                                                                  </w:t>
      </w:r>
      <w:r>
        <w:rPr>
          <w:sz w:val="24"/>
          <w:szCs w:val="24"/>
          <w:lang w:bidi="zxx"/>
        </w:rPr>
        <w:t>г.  Кореновск</w:t>
      </w:r>
      <w:r>
        <w:rPr>
          <w:sz w:val="28"/>
          <w:szCs w:val="28"/>
        </w:rPr>
        <w:t xml:space="preserve">                                                                               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реестра муниципальных услуг </w:t>
      </w:r>
    </w:p>
    <w:p>
      <w:pPr>
        <w:pStyle w:val="11"/>
        <w:jc w:val="center"/>
        <w:rPr>
          <w:rStyle w:val="FontStyle19"/>
          <w:b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отраслевых (функциональных) органов </w:t>
      </w:r>
      <w:r>
        <w:rPr>
          <w:rStyle w:val="FontStyle19"/>
          <w:b/>
          <w:sz w:val="28"/>
          <w:szCs w:val="28"/>
        </w:rPr>
        <w:t>администрации</w:t>
      </w:r>
      <w:r>
        <w:rPr>
          <w:rFonts w:cs="Times New Roman"/>
          <w:b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  <w:b/>
        </w:rPr>
        <w:t xml:space="preserve">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</w:p>
    <w:p>
      <w:pPr>
        <w:pStyle w:val="11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1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  предоставления   государственных   и   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постановления администрации муниципального образования Кореновский район от 26.03.2018 № 379 «Об утверждении Положения о порядке формирования и ведения реестра муниципальных услуг и 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функций 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2"/>
        <w:spacing w:lineRule="auto" w:line="240"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муниципальных услуг </w:t>
      </w:r>
      <w:r>
        <w:rPr>
          <w:rStyle w:val="FontStyle16"/>
          <w:b w:val="false"/>
          <w:sz w:val="28"/>
          <w:szCs w:val="28"/>
        </w:rPr>
        <w:t xml:space="preserve">отраслевых (функциональных) органов </w:t>
      </w:r>
      <w:r>
        <w:rPr>
          <w:rStyle w:val="FontStyle19"/>
          <w:sz w:val="28"/>
          <w:szCs w:val="28"/>
        </w:rPr>
        <w:t>администрации муниципального образования Кореновский район 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(приложение).</w:t>
      </w:r>
    </w:p>
    <w:p>
      <w:pPr>
        <w:pStyle w:val="11"/>
        <w:spacing w:lineRule="auto" w:line="240"/>
        <w:ind w:left="0" w:right="0"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40"/>
        <w:ind w:left="0" w:right="0" w:firstLine="709"/>
        <w:jc w:val="both"/>
        <w:rPr>
          <w:rFonts w:cs="Times New Roman"/>
          <w:bCs/>
          <w:sz w:val="27"/>
          <w:szCs w:val="27"/>
        </w:rPr>
      </w:pPr>
      <w:r>
        <w:rPr>
          <w:rFonts w:cs="Times New Roman"/>
          <w:sz w:val="27"/>
          <w:szCs w:val="27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>15 мая 2019 года № 623 «</w:t>
      </w:r>
      <w:r>
        <w:rPr>
          <w:rFonts w:cs="Times New Roman"/>
          <w:bCs/>
          <w:sz w:val="27"/>
          <w:szCs w:val="27"/>
        </w:rPr>
        <w:t>Об утверждении реестра муниципальных услуг</w:t>
      </w:r>
      <w:r>
        <w:rPr>
          <w:rStyle w:val="FontStyle16"/>
          <w:b w:val="false"/>
          <w:sz w:val="27"/>
          <w:szCs w:val="27"/>
        </w:rPr>
        <w:t xml:space="preserve"> отраслевых (функциональных) органов </w:t>
      </w:r>
      <w:r>
        <w:rPr>
          <w:rStyle w:val="FontStyle19"/>
          <w:sz w:val="27"/>
          <w:szCs w:val="27"/>
        </w:rPr>
        <w:t>администрации муниципального образования Кореновский район с элементами межведомственного взаимодействия</w:t>
      </w:r>
      <w:r>
        <w:rPr>
          <w:rFonts w:cs="Times New Roman"/>
          <w:bCs/>
          <w:sz w:val="27"/>
          <w:szCs w:val="27"/>
        </w:rPr>
        <w:t>».</w:t>
      </w:r>
    </w:p>
    <w:p>
      <w:pPr>
        <w:pStyle w:val="11"/>
        <w:ind w:left="0" w:right="0" w:firstLine="709"/>
        <w:jc w:val="both"/>
        <w:rPr/>
      </w:pPr>
      <w:r>
        <w:rPr>
          <w:sz w:val="27"/>
          <w:szCs w:val="27"/>
        </w:rPr>
        <w:t xml:space="preserve">4. </w:t>
      </w:r>
      <w:r>
        <w:rPr>
          <w:color w:val="000000"/>
          <w:sz w:val="27"/>
          <w:szCs w:val="27"/>
        </w:rPr>
        <w:t>Отделу по делам СМИ и информационному сопровождению администрации муниципального образования Кореновский район (Диденко)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11"/>
        <w:ind w:left="0" w:right="0" w:firstLine="709"/>
        <w:jc w:val="both"/>
        <w:rPr>
          <w:rFonts w:eastAsia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7"/>
          <w:szCs w:val="27"/>
        </w:rPr>
        <w:t xml:space="preserve">   на</w:t>
      </w:r>
    </w:p>
    <w:p>
      <w:pPr>
        <w:pStyle w:val="11"/>
        <w:jc w:val="both"/>
        <w:rPr>
          <w:rFonts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7"/>
          <w:szCs w:val="27"/>
        </w:rPr>
        <w:t xml:space="preserve">Н.Г. Лысенко. </w:t>
      </w:r>
    </w:p>
    <w:p>
      <w:pPr>
        <w:pStyle w:val="11"/>
        <w:spacing w:lineRule="auto" w:line="24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Исполняющий обязанности главы </w:t>
      </w:r>
    </w:p>
    <w:p>
      <w:pPr>
        <w:pStyle w:val="12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11"/>
        <w:pageBreakBefore w:val="false"/>
        <w:ind w:left="0" w:right="-1" w:hanging="0"/>
        <w:jc w:val="both"/>
        <w:rPr/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</w:t>
      </w:r>
    </w:p>
    <w:p>
      <w:pPr>
        <w:pStyle w:val="11"/>
        <w:ind w:left="0" w:right="-1" w:hanging="0"/>
        <w:jc w:val="both"/>
        <w:rPr>
          <w:rFonts w:cs="Times New Roman"/>
          <w:sz w:val="28"/>
          <w:szCs w:val="28"/>
        </w:rPr>
      </w:pPr>
      <w:r>
        <w:rPr/>
      </w:r>
    </w:p>
    <w:p>
      <w:pPr>
        <w:pStyle w:val="11"/>
        <w:ind w:left="0" w:right="-1" w:hanging="0"/>
        <w:jc w:val="right"/>
        <w:rPr/>
      </w:pPr>
      <w:r>
        <w:rPr>
          <w:rFonts w:cs="Times New Roman"/>
          <w:sz w:val="28"/>
          <w:szCs w:val="28"/>
        </w:rPr>
        <w:t xml:space="preserve">ПРИЛОЖЕНИЕ                                                                                                                        УТВЕРЖДЕН 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</w:t>
      </w:r>
    </w:p>
    <w:p>
      <w:pPr>
        <w:pStyle w:val="11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от  02.10.2019 № 1330 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</w:t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2"/>
        <w:spacing w:before="0" w:after="0"/>
        <w:jc w:val="center"/>
        <w:rPr>
          <w:rStyle w:val="FontStyle19"/>
          <w:b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муниципальных услуг </w:t>
      </w:r>
      <w:r>
        <w:rPr>
          <w:rStyle w:val="FontStyle16"/>
          <w:sz w:val="28"/>
          <w:szCs w:val="28"/>
        </w:rPr>
        <w:t>отраслевых (функциональных) органов</w:t>
      </w:r>
      <w:r>
        <w:rPr>
          <w:rStyle w:val="FontStyle16"/>
          <w:b w:val="false"/>
          <w:sz w:val="28"/>
          <w:szCs w:val="28"/>
        </w:rPr>
        <w:t xml:space="preserve"> </w:t>
      </w:r>
      <w:r>
        <w:rPr>
          <w:rStyle w:val="FontStyle19"/>
          <w:b/>
          <w:sz w:val="28"/>
          <w:szCs w:val="28"/>
        </w:rPr>
        <w:t>администрации муниципального образования Кореновский район с элементами межведомственного взаимодействия</w:t>
      </w:r>
    </w:p>
    <w:p>
      <w:pPr>
        <w:pStyle w:val="12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12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tblW w:w="9519" w:type="dxa"/>
        <w:jc w:val="left"/>
        <w:tblInd w:w="89" w:type="dxa"/>
        <w:tblCellMar>
          <w:top w:w="0" w:type="dxa"/>
          <w:left w:w="83" w:type="dxa"/>
          <w:bottom w:w="0" w:type="dxa"/>
          <w:right w:w="108" w:type="dxa"/>
        </w:tblCellMar>
      </w:tblPr>
      <w:tblGrid>
        <w:gridCol w:w="560"/>
        <w:gridCol w:w="5849"/>
        <w:gridCol w:w="3110"/>
      </w:tblGrid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муниципальной услуги (функции)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spacing w:lineRule="auto" w:line="240" w:before="0" w:after="0"/>
              <w:ind w:left="0" w:right="0" w:firstLine="709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муниципальных услугах и функциях, </w:t>
            </w:r>
            <w:r>
              <w:rPr>
                <w:rFonts w:cs="Times New Roman"/>
              </w:rPr>
              <w:t xml:space="preserve">предоставляемых </w:t>
            </w:r>
            <w:r>
              <w:rPr>
                <w:rFonts w:cs="Times New Roman"/>
                <w:bCs/>
              </w:rPr>
              <w:t>(исполняемых) отраслевыми  (функциональными)    органами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>
              <w:rPr>
                <w:rStyle w:val="FontStyle21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земельных участков, находящихся в муниципальной собственности, в аренду на торгах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center"/>
              <w:rPr/>
            </w:pPr>
            <w:r>
              <w:rPr/>
              <w:t>Градостроительство</w:t>
            </w:r>
          </w:p>
          <w:p>
            <w:pPr>
              <w:pStyle w:val="11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Продление срока действия разрешения на строительство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Внесение изменений в разрешение на строительство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градостроительных планов земельных участков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сведений   информационной   системы   обеспечения градостроительной деятельности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Утверждение документации по планировке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Принятие решения об утверждении схемы расположения земельного участка на кадастровом плане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11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41.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bCs/>
                <w:highlight w:val="white"/>
                <w:lang w:eastAsia="ar-SA"/>
              </w:rPr>
            </w:pPr>
            <w:r>
              <w:rPr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11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42.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bCs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  <w:lang w:eastAsia="ru-RU"/>
              </w:rPr>
              <w:t xml:space="preserve">Признание молодой семьи участником </w:t>
            </w:r>
            <w:r>
              <w:rPr>
                <w:rStyle w:val="FontStyle24"/>
                <w:sz w:val="24"/>
                <w:szCs w:val="24"/>
              </w:rPr>
              <w:t xml:space="preserve">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43.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24"/>
                <w:bCs/>
                <w:sz w:val="24"/>
                <w:szCs w:val="24"/>
                <w:lang w:eastAsia="ru-RU"/>
              </w:rPr>
            </w:pPr>
            <w:r>
              <w:rPr>
                <w:rStyle w:val="FontStyle24"/>
                <w:bCs/>
                <w:sz w:val="24"/>
                <w:szCs w:val="24"/>
                <w:lang w:eastAsia="ru-RU"/>
              </w:rPr>
              <w:t>Предоставление молодым семьям социальных выплат</w:t>
            </w:r>
            <w:r>
              <w:rPr>
                <w:rFonts w:cs="Times New Roman"/>
                <w:bCs/>
                <w:lang w:eastAsia="ru-RU"/>
              </w:rPr>
              <w:t xml:space="preserve"> </w:t>
            </w:r>
            <w:r>
              <w:rPr>
                <w:rStyle w:val="FontStyle24"/>
                <w:bCs/>
                <w:sz w:val="24"/>
                <w:szCs w:val="24"/>
                <w:lang w:eastAsia="ru-RU"/>
              </w:rPr>
              <w:t>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44.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45.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46.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center"/>
              <w:rPr/>
            </w:pPr>
            <w:r>
              <w:rPr/>
              <w:t>Образование</w:t>
            </w:r>
          </w:p>
          <w:p>
            <w:pPr>
              <w:pStyle w:val="11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47.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center"/>
              <w:rPr/>
            </w:pPr>
            <w:r>
              <w:rPr/>
              <w:t>Жилищно-коммунальное хозяйство</w:t>
            </w:r>
          </w:p>
          <w:p>
            <w:pPr>
              <w:pStyle w:val="11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48.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49.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50.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Признание в установленном порядке жилых помещений пригодными (непригодными) для проживания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51.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52.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Переустройство и (или) перепланировка помещения в многоквартирном доме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53.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highlight w:val="white"/>
                <w:lang w:eastAsia="ar-SA"/>
              </w:rPr>
            </w:pPr>
            <w:r>
              <w:rPr>
                <w:shd w:fill="FFFFFF" w:val="clear"/>
                <w:lang w:eastAsia="ar-SA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54.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55.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жилых помещений муниципального жилищного фонда коммерческого использования по договорам аренды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56.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57.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58.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Согласование проведения работ в технических и охранных зонах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bCs/>
              </w:rPr>
            </w:pPr>
            <w:r>
              <w:rPr>
                <w:bCs/>
              </w:rPr>
              <w:t>59.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bCs/>
              </w:rPr>
            </w:pPr>
            <w:r>
              <w:rPr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Функции в сфере контрольно-надзорной деятельности</w:t>
            </w:r>
          </w:p>
          <w:p>
            <w:pPr>
              <w:pStyle w:val="11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по финансовому контролю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Осуществление муниципального жилищного контроля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Осуществление муниципального земельного контроля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Осуществление муниципального контроля за соблюдением законодательства в области розничной продажи алкогольной продукции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/>
                <w:lang w:val="en-US"/>
              </w:rPr>
              <w:t>II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bCs/>
              </w:rPr>
              <w:t>Сведения о государственных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false"/>
                <w:sz w:val="24"/>
                <w:szCs w:val="24"/>
              </w:rPr>
              <w:t>услугах, в предоставлении которых участвуют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 xml:space="preserve"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 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color w:val="00000A"/>
                <w:sz w:val="24"/>
                <w:szCs w:val="24"/>
              </w:rPr>
            </w:pPr>
            <w:r>
              <w:rPr>
                <w:rStyle w:val="FontStyle32"/>
                <w:color w:val="00000A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хозяйствам, индивидуальным предпринимателям, ведущим деятельность в области сельскохозяйственного производствам, на поддержку сельскохозяйственного производства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сельского хозяйства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31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1"/>
              <w:jc w:val="both"/>
              <w:rPr/>
            </w:pPr>
            <w:r>
              <w:rPr/>
              <w:t>32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</w:tbl>
    <w:p>
      <w:pPr>
        <w:pStyle w:val="11"/>
        <w:jc w:val="both"/>
        <w:rPr/>
      </w:pPr>
      <w:r>
        <w:rPr/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1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Н.Г. Лысенко</w:t>
      </w:r>
    </w:p>
    <w:p>
      <w:pPr>
        <w:pStyle w:val="11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567" w:header="30" w:top="87" w:footer="368" w:bottom="425" w:gutter="0"/>
      <w:pgNumType w:fmt="decimal"/>
      <w:formProt w:val="false"/>
      <w:titlePg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qFormat/>
    <w:rsid w:val="00397f4e"/>
    <w:pPr>
      <w:keepNext w:val="true"/>
      <w:widowControl w:val="false"/>
      <w:suppressAutoHyphens w:val="true"/>
      <w:bidi w:val="0"/>
      <w:spacing w:before="240" w:after="60"/>
      <w:jc w:val="left"/>
      <w:outlineLvl w:val="0"/>
    </w:pPr>
    <w:rPr>
      <w:rFonts w:ascii="Arial" w:hAnsi="Arial" w:eastAsia="Times New Roman" w:cs="Arial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 w:val="false"/>
      <w:suppressAutoHyphens w:val="true"/>
      <w:bidi w:val="0"/>
      <w:jc w:val="center"/>
      <w:outlineLvl w:val="1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  <w:lang w:val="zxx" w:eastAsia="zxx" w:bidi="zxx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ListLabel1" w:customStyle="1">
    <w:name w:val="ListLabel 1"/>
    <w:qFormat/>
    <w:rPr>
      <w:sz w:val="20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ListLabel2" w:customStyle="1">
    <w:name w:val="ListLabel 2"/>
    <w:qFormat/>
    <w:rPr>
      <w:b w:val="false"/>
      <w:bCs w:val="false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ListLabel3" w:customStyle="1">
    <w:name w:val="ListLabel 3"/>
    <w:qFormat/>
    <w:rPr>
      <w:b w:val="false"/>
      <w:bCs w:val="false"/>
    </w:rPr>
  </w:style>
  <w:style w:type="character" w:styleId="ListLabel4" w:customStyle="1">
    <w:name w:val="ListLabel 4"/>
    <w:qFormat/>
    <w:rPr>
      <w:b w:val="false"/>
      <w:bCs w:val="false"/>
    </w:rPr>
  </w:style>
  <w:style w:type="character" w:styleId="ListLabel5">
    <w:name w:val="ListLabel 5"/>
    <w:qFormat/>
    <w:rPr>
      <w:b w:val="false"/>
      <w:bCs w:val="false"/>
    </w:rPr>
  </w:style>
  <w:style w:type="character" w:styleId="ListLabel6">
    <w:name w:val="ListLabel 6"/>
    <w:qFormat/>
    <w:rPr>
      <w:b w:val="false"/>
      <w:bCs w:val="false"/>
    </w:rPr>
  </w:style>
  <w:style w:type="paragraph" w:styleId="Style17" w:customStyle="1">
    <w:name w:val="Заголовок"/>
    <w:next w:val="Style18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8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val="ru-RU" w:eastAsia="zh-CN" w:bidi="hi-IN"/>
    </w:rPr>
  </w:style>
  <w:style w:type="paragraph" w:styleId="Style22" w:customStyle="1">
    <w:name w:val="Title"/>
    <w:basedOn w:val="11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left="0" w:right="0"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38"/>
      <w:szCs w:val="38"/>
      <w:lang w:val="ru-RU" w:eastAsia="ru-RU" w:bidi="ar-SA"/>
    </w:rPr>
  </w:style>
  <w:style w:type="paragraph" w:styleId="Style23">
    <w:name w:val="Header"/>
    <w:basedOn w:val="11"/>
    <w:uiPriority w:val="99"/>
    <w:rsid w:val="00397f4e"/>
    <w:pPr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11"/>
    <w:rsid w:val="00397f4e"/>
    <w:pPr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Style25">
    <w:name w:val="Body Text Indent"/>
    <w:basedOn w:val="11"/>
    <w:rsid w:val="001922f2"/>
    <w:pPr>
      <w:ind w:left="0" w:right="0"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left="0" w:right="0"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6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7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2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8" w:customStyle="1">
    <w:name w:val="Содержимое врезки"/>
    <w:basedOn w:val="11"/>
    <w:qFormat/>
    <w:pPr/>
    <w:rPr/>
  </w:style>
  <w:style w:type="paragraph" w:styleId="Style29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0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3990-3CB4-4C32-ACC8-0F58699C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Application>LibreOffice/6.2.4.2$Windows_x86 LibreOffice_project/2412653d852ce75f65fbfa83fb7e7b669a126d64</Application>
  <Pages>9</Pages>
  <Words>2456</Words>
  <Characters>18652</Characters>
  <CharactersWithSpaces>28154</CharactersWithSpaces>
  <Paragraphs>332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2019-10-04T15:31:06Z</cp:lastPrinted>
  <dcterms:modified xsi:type="dcterms:W3CDTF">2019-10-09T16:40:49Z</dcterms:modified>
  <cp:revision>122</cp:revision>
  <dc:subject/>
  <dc:title>ПРОЕКТ</dc:title>
</cp:coreProperties>
</file>