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27.11.2019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b/>
          <w:sz w:val="24"/>
        </w:rPr>
        <w:t>1658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/>
          <w:b/>
          <w:sz w:val="24"/>
          <w:szCs w:val="24"/>
          <w:lang w:bidi="zxx"/>
        </w:rPr>
        <w:t>г.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/>
      </w:pPr>
      <w:r>
        <w:rPr>
          <w:rFonts w:cs="Times New Roman"/>
          <w:b/>
          <w:sz w:val="28"/>
          <w:szCs w:val="28"/>
        </w:rPr>
        <w:t>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2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156" w:top="720" w:footer="363" w:bottom="1134" w:gutter="0"/>
          <w:pgNumType w:fmt="decimal"/>
          <w:formProt w:val="false"/>
          <w:textDirection w:val="lrTb"/>
          <w:docGrid w:type="default" w:linePitch="360" w:charSpace="1842"/>
        </w:sectPr>
        <w:pStyle w:val="11"/>
        <w:spacing w:lineRule="auto" w:line="24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02 октября 2019 года        № 1329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 xml:space="preserve"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районе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   официальном   сайте  администрации муниципального образования Кореновский район.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>
          <w:rFonts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A"/>
          <w:sz w:val="28"/>
          <w:szCs w:val="28"/>
        </w:rPr>
        <w:t xml:space="preserve">27.11.2019 </w:t>
      </w:r>
      <w:r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1658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849"/>
        <w:gridCol w:w="3109"/>
      </w:tblGrid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ind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Оформление документов по обмену жилыми помещениями муниципального жилищного фонда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Градостроительство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разрешений на ввод в эксплуатацию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градостроительного плана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планируемом сносе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highlight w:val="white"/>
                <w:lang w:eastAsia="ar-SA"/>
              </w:rPr>
            </w:pPr>
            <w:r>
              <w:rPr>
                <w:rFonts w:cs="Times New Roman"/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24"/>
                <w:color w:val="000000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color w:val="000000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Образование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Зачисление в общеобразовательную организацию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  <w:bCs/>
                <w:highlight w:val="white"/>
              </w:rPr>
            </w:pPr>
            <w:r>
              <w:rPr>
                <w:rFonts w:cs="Times New Roman"/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Жилищно-коммунальное хозяйство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60.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Выдача выписок из лицевого счета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Прочие услуги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/>
            </w:pPr>
            <w:hyperlink r:id="rId5">
              <w:r>
                <w:rPr>
                  <w:rStyle w:val="Style12"/>
                  <w:rFonts w:cs="Times New Roman"/>
                  <w:bCs/>
                  <w:color w:val="00000A"/>
                  <w:u w:val="none"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1"/>
        <w:jc w:val="both"/>
        <w:rPr/>
      </w:pPr>
      <w:r>
        <w:rPr/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1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567" w:header="709" w:top="1134" w:footer="363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uiPriority w:val="9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basedOn w:val="11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11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Title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korenovsk.ru/?page_id=4802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067A-2348-41A3-84CB-CD114B2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LibreOffice/6.3.3.2$Windows_x86 LibreOffice_project/a64200df03143b798afd1ec74a12ab50359878ed</Application>
  <Pages>11</Pages>
  <Words>2660</Words>
  <Characters>20287</Characters>
  <CharactersWithSpaces>29683</CharactersWithSpaces>
  <Paragraphs>342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2019-12-03T11:34:50Z</cp:lastPrinted>
  <dcterms:modified xsi:type="dcterms:W3CDTF">2019-12-03T11:34:57Z</dcterms:modified>
  <cp:revision>109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