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b/>
          <w:b/>
          <w:sz w:val="36"/>
          <w:lang w:bidi="zxx"/>
        </w:rPr>
      </w:pPr>
      <w:r>
        <w:rPr>
          <w:b/>
          <w:sz w:val="36"/>
          <w:lang w:bidi="zxx"/>
        </w:rPr>
        <w:t>П</w:t>
      </w:r>
      <w:r>
        <w:rPr>
          <w:b/>
          <w:sz w:val="36"/>
          <w:lang w:bidi="zxx"/>
        </w:rPr>
        <w:t>ОСТАНОВЛЕНИЕ</w:t>
      </w:r>
    </w:p>
    <w:p>
      <w:pPr>
        <w:pStyle w:val="Normal"/>
        <w:spacing w:lineRule="auto" w:line="360"/>
        <w:rPr/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  <w:szCs w:val="24"/>
        </w:rPr>
        <w:t>15.02.2021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№ </w:t>
      </w:r>
      <w:r>
        <w:rPr>
          <w:b/>
          <w:sz w:val="24"/>
          <w:szCs w:val="24"/>
        </w:rPr>
        <w:t>159</w:t>
      </w:r>
    </w:p>
    <w:p>
      <w:pPr>
        <w:pStyle w:val="Normal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4"/>
          <w:szCs w:val="24"/>
          <w:lang w:bidi="zxx"/>
        </w:rPr>
        <w:t>г. Кореновск</w:t>
      </w:r>
      <w:r>
        <w:rPr>
          <w:b/>
          <w:sz w:val="28"/>
          <w:szCs w:val="28"/>
        </w:rPr>
        <w:t xml:space="preserve">                                                                                  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Об утверждении Порядка определения предельно допустимого значения просроченной кредиторской задолженности муниципального бюджетного и казенного учреждения муниципального образования Кореновский район, превышение которого влечет расторжение трудового договора с директором муниципального бюджетного и казенного учреждения по инициативе работодателя в соответствии с Трудовым кодексом Российской Федерации</w:t>
        <w:br/>
      </w:r>
    </w:p>
    <w:p>
      <w:pPr>
        <w:pStyle w:val="Normal"/>
        <w:tabs>
          <w:tab w:val="clear" w:pos="708"/>
          <w:tab w:val="left" w:pos="3289" w:leader="none"/>
        </w:tabs>
        <w:ind w:firstLine="851"/>
        <w:jc w:val="both"/>
        <w:rPr/>
      </w:pPr>
      <w:r>
        <w:rPr>
          <w:sz w:val="28"/>
          <w:szCs w:val="28"/>
        </w:rPr>
        <w:tab/>
      </w:r>
      <w:r>
        <w:rPr>
          <w:sz w:val="28"/>
          <w:szCs w:val="28"/>
          <w:lang w:eastAsia="ar-SA"/>
        </w:rPr>
        <w:t>На основании</w:t>
      </w:r>
      <w:r>
        <w:rPr>
          <w:sz w:val="28"/>
          <w:szCs w:val="28"/>
        </w:rPr>
        <w:t xml:space="preserve"> п. 27 ст. 30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  <w:r>
        <w:rPr>
          <w:sz w:val="28"/>
          <w:szCs w:val="28"/>
          <w:lang w:eastAsia="ar-SA"/>
        </w:rPr>
        <w:t xml:space="preserve"> администрация муниципального образования Кореновский район п о с т а н о в л я е т:</w:t>
      </w:r>
    </w:p>
    <w:p>
      <w:pPr>
        <w:pStyle w:val="ConsPlusNormal"/>
        <w:ind w:firstLine="709"/>
        <w:jc w:val="both"/>
        <w:rPr/>
      </w:pPr>
      <w:r>
        <w:rPr>
          <w:sz w:val="28"/>
          <w:szCs w:val="28"/>
        </w:rPr>
        <w:t xml:space="preserve">1. Утвердить прилагаемый </w:t>
      </w:r>
      <w:hyperlink w:anchor="Par39" w:tgtFrame="ПОРЯДОК">
        <w:r>
          <w:rPr>
            <w:rStyle w:val="ListLabel1"/>
            <w:color w:val="000000"/>
            <w:sz w:val="28"/>
            <w:szCs w:val="28"/>
          </w:rPr>
          <w:t>Порядок</w:t>
        </w:r>
      </w:hyperlink>
      <w:r>
        <w:rPr>
          <w:color w:val="000000"/>
          <w:sz w:val="28"/>
          <w:szCs w:val="28"/>
        </w:rPr>
        <w:t xml:space="preserve"> о</w:t>
      </w:r>
      <w:r>
        <w:rPr>
          <w:sz w:val="28"/>
          <w:szCs w:val="28"/>
        </w:rPr>
        <w:t xml:space="preserve">пределения предельно допустимого значения просроченной кредиторской задолженности муниципального бюджетного и казенного учреждения муниципального образования </w:t>
      </w:r>
      <w:r>
        <w:rPr>
          <w:sz w:val="28"/>
          <w:szCs w:val="28"/>
          <w:lang w:eastAsia="ar-SA"/>
        </w:rPr>
        <w:t>Кореновский район</w:t>
      </w:r>
      <w:r>
        <w:rPr>
          <w:sz w:val="28"/>
          <w:szCs w:val="28"/>
        </w:rPr>
        <w:t>, превышение которого влечет расторжение трудового договора с директором муниципального бюджетного и казенного учреждения по инициативе работодателя в соответствии с Трудовым кодексом Российской Федерации.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муниципального образования Кореновский район от 06.10.2016 № 1011 «Об утверждении Порядка определения предельно допустимого значения просроченной кредиторской задолженности бюджетного (автономного) учреждения муниципального образования Кореновский район, превышение которого влечет расторжение трудового договора с руководителем муниципального бюджетного (автономного) учреждения по инициативе работодателя в соответствии с Трудовым кодексом Российской Федерации».</w:t>
      </w:r>
    </w:p>
    <w:p>
      <w:pPr>
        <w:pStyle w:val="S1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Отделу по делам СМИ и информационному сопровождению администрации муниципального образования Кореновский район (Литвинцева) опубликовать официально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Контроль за  выполнением настоящего</w:t>
      </w:r>
      <w:r>
        <w:rPr>
          <w:sz w:val="28"/>
          <w:szCs w:val="28"/>
        </w:rPr>
        <w:t xml:space="preserve"> постановления возложить на заместителя главы муниципального образования Кореновский район С.В. Колупайко.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5. Постановление вступает </w:t>
      </w:r>
      <w:r>
        <w:rPr>
          <w:sz w:val="28"/>
          <w:szCs w:val="28"/>
        </w:rPr>
        <w:t>после его официального опубликования.</w:t>
      </w:r>
    </w:p>
    <w:p>
      <w:pPr>
        <w:pStyle w:val="Normal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headerReference w:type="default" r:id="rId3"/>
          <w:type w:val="nextPage"/>
          <w:pgSz w:w="11906" w:h="16838"/>
          <w:pgMar w:left="1701" w:right="567" w:header="709" w:top="899" w:footer="0" w:bottom="1134" w:gutter="0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7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ПРИЛОЖЕНИЕ</w:t>
            </w:r>
          </w:p>
          <w:p>
            <w:pPr>
              <w:pStyle w:val="Normal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</w:r>
          </w:p>
          <w:p>
            <w:pPr>
              <w:pStyle w:val="Normal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УТВЕРЖДЕН</w:t>
            </w:r>
          </w:p>
          <w:p>
            <w:pPr>
              <w:pStyle w:val="Normal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постановлением администрации</w:t>
            </w:r>
          </w:p>
          <w:p>
            <w:pPr>
              <w:pStyle w:val="Normal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муниципального образования </w:t>
            </w:r>
          </w:p>
          <w:p>
            <w:pPr>
              <w:pStyle w:val="Normal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Кореновский район</w:t>
            </w:r>
          </w:p>
          <w:p>
            <w:pPr>
              <w:pStyle w:val="Normal"/>
              <w:jc w:val="center"/>
              <w:rPr/>
            </w:pPr>
            <w:r>
              <w:rPr>
                <w:sz w:val="28"/>
                <w:szCs w:val="32"/>
              </w:rPr>
              <w:t xml:space="preserve">от </w:t>
            </w:r>
            <w:r>
              <w:rPr>
                <w:sz w:val="28"/>
                <w:szCs w:val="32"/>
              </w:rPr>
              <w:t>15.02.021 №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sz w:val="28"/>
                <w:szCs w:val="32"/>
              </w:rPr>
              <w:t>159</w:t>
            </w:r>
          </w:p>
        </w:tc>
      </w:tr>
    </w:tbl>
    <w:p>
      <w:pPr>
        <w:pStyle w:val="Normal"/>
        <w:jc w:val="center"/>
        <w:rPr>
          <w:b/>
          <w:b/>
          <w:sz w:val="28"/>
          <w:szCs w:val="32"/>
        </w:rPr>
      </w:pPr>
      <w:r>
        <w:rPr>
          <w:b/>
          <w:sz w:val="28"/>
          <w:szCs w:val="32"/>
        </w:rPr>
      </w:r>
    </w:p>
    <w:p>
      <w:pPr>
        <w:pStyle w:val="Normal"/>
        <w:jc w:val="center"/>
        <w:rPr>
          <w:b/>
          <w:b/>
          <w:sz w:val="28"/>
          <w:szCs w:val="32"/>
        </w:rPr>
      </w:pPr>
      <w:r>
        <w:rPr>
          <w:b/>
          <w:sz w:val="28"/>
          <w:szCs w:val="32"/>
        </w:rPr>
        <w:t>ПОРЯДОК</w:t>
      </w:r>
    </w:p>
    <w:p>
      <w:pPr>
        <w:pStyle w:val="ConsPlusNormal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определения предельно допустимого значения просроченной кредиторской задолженности муниципального бюджетного и казенного учреждения муниципального образования Кореновский район, превышение которого влечет расторжение трудового договора с директором муниципального бюджетного и казенного учреждения по инициативе работодателя в соответствии с Трудовым кодексом Российской Федерации</w:t>
      </w:r>
    </w:p>
    <w:p>
      <w:pPr>
        <w:pStyle w:val="Normal"/>
        <w:jc w:val="center"/>
        <w:rPr>
          <w:b/>
          <w:b/>
          <w:sz w:val="28"/>
          <w:szCs w:val="32"/>
        </w:rPr>
      </w:pPr>
      <w:r>
        <w:rPr>
          <w:b/>
          <w:sz w:val="28"/>
          <w:szCs w:val="32"/>
        </w:rPr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устанавливает правила определения предельно допустимого значения просроченной кредиторской задолженности муниципального бюджетного и казенного учреждения муниципального образования Кореновский район (далее - Учреждение), превышение которого влечет расторжение трудового договора с директором Учреждения по инициативе работодателя в соответствии с Трудовым кодексом Российской Федерации.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Просроченная кредиторская задолженность Учреждения разделяется на следующие группы: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кредиторская задолженность по оплате труда и иным выплатам персоналу, срок погашения которой, установленный локальными актами Учреждения, регулирующими трудовые отношения, и законодательством Российской Федерации, истек;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кредиторская задолженность по налоговым и иным платежам в бюджеты бюджетной системы Российской Федерации и государственные внебюджетные фонды, срок погашения которой, предусмотренный законодательством Российской Федерации, истек;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кредиторская задолженность перед поставщиками и подрядчиками, срок погашения которой, предусмотренный заключенными договорами и законодательством Российской Федерации, истек;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кредиторская задолженность по всем имеющимся обязательствам, срок погашения которой, предусмотренный законодательством Российской Федерации, истек.</w:t>
      </w:r>
    </w:p>
    <w:p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 Предельно допустимое значение просроченной кредиторской задолженности по каждой из групп определяется как:</w:t>
      </w:r>
    </w:p>
    <w:p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наличие кредиторской задолженности по заработной плате, срок невыплаты которой превышает 2 (два) месяца с момента, установленными локальными актами бюджетного учреждения, как дата выплаты заработной платы;</w:t>
      </w:r>
    </w:p>
    <w:p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наличие кредиторской задолженности по налоговым и иным платежам в бюджет и внебюджетные фонды, срок неуплаты которых превышает 3 (три) месяца с даты, когда платежи должны были быть осуществлены;</w:t>
      </w:r>
    </w:p>
    <w:p>
      <w:pPr>
        <w:pStyle w:val="ConsPlusNormal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fill="FFFFFF" w:val="clear"/>
        </w:rPr>
        <w:t>- наличие кредиторской задолженности перед поставщиками и подрядчиками, срок неуплаты которой превышает 3 (три) месяца с даты, когда платежи должны были быть осуществлены;</w:t>
      </w:r>
    </w:p>
    <w:p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>- превышение величины просроченной общей кредиторской задолженности над стоимостью активов бюджетного и автономного учреждений, за исключением балансовой стоимости особо ценного движимого имущества и недвижимого имущества, на отчетную дату, в течение 3 (трех) календарных месяцев подряд.</w:t>
      </w:r>
    </w:p>
    <w:p>
      <w:pPr>
        <w:pStyle w:val="ConsPlusNormal"/>
        <w:ind w:firstLine="709"/>
        <w:jc w:val="both"/>
        <w:rPr/>
      </w:pPr>
      <w:r>
        <w:rPr>
          <w:color w:val="000000"/>
          <w:sz w:val="28"/>
          <w:szCs w:val="28"/>
        </w:rPr>
        <w:t>4. Отраслевые (функциональные) органы администрации муниципального образования Кореновский район (главные распорядители) на основании отчетов подведомственных Учреждений ежеквартально одновременно с бухгалтерской (финансовой) отчетностью в</w:t>
      </w:r>
      <w:r>
        <w:rPr>
          <w:sz w:val="28"/>
          <w:szCs w:val="28"/>
        </w:rPr>
        <w:t xml:space="preserve"> сроки, установленные для сдачи указанной отчетности, представляют в финансовое управление администрации муниципального образования Кореновский район сведения о кредиторской задолженности и просроченной кредиторской задолженности (далее - Сведения) (</w:t>
      </w:r>
      <w:hyperlink w:anchor="Par85" w:tgtFrame="СВЕДЕНИЯ">
        <w:r>
          <w:rPr>
            <w:rStyle w:val="ListLabel2"/>
            <w:sz w:val="28"/>
            <w:szCs w:val="28"/>
          </w:rPr>
          <w:t>приложения № 1</w:t>
        </w:r>
      </w:hyperlink>
      <w:r>
        <w:rPr>
          <w:sz w:val="28"/>
          <w:szCs w:val="28"/>
        </w:rPr>
        <w:t xml:space="preserve"> и </w:t>
      </w:r>
      <w:hyperlink w:anchor="Par187" w:tgtFrame="СВЕДЕНИЯ">
        <w:r>
          <w:rPr>
            <w:rStyle w:val="ListLabel2"/>
            <w:sz w:val="28"/>
            <w:szCs w:val="28"/>
          </w:rPr>
          <w:t>№ 2</w:t>
        </w:r>
      </w:hyperlink>
      <w:r>
        <w:rPr>
          <w:sz w:val="28"/>
          <w:szCs w:val="28"/>
        </w:rPr>
        <w:t xml:space="preserve"> к настоящему Порядку) и отчет о просроченной кредиторской задолженности (далее - Отчет), сформированный на основании данных бухгалтерского учета (</w:t>
      </w:r>
      <w:hyperlink w:anchor="Par279" w:tgtFrame="ОТЧЕТ">
        <w:r>
          <w:rPr>
            <w:rStyle w:val="ListLabel2"/>
            <w:sz w:val="28"/>
            <w:szCs w:val="28"/>
          </w:rPr>
          <w:t>приложение № 3</w:t>
        </w:r>
      </w:hyperlink>
      <w:r>
        <w:rPr>
          <w:sz w:val="28"/>
          <w:szCs w:val="28"/>
        </w:rPr>
        <w:t xml:space="preserve"> к настоящему Порядку), с пояснительной запиской, в которой указываются причины возникновения просроченной кредиторской задолженности, а также мероприятия по ее погашению и сроки их реализации, по Учреждениям допустившим наличие просроченной кредиторской задолженности.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 случае превышения предельно допустимого значения просроченной кредиторской задолженности финансовое управление администрации муниципального образования Кореновский район информирует главу муниципального образования Кореновский район о факте превышения предельно допустимого значения просроченной кредиторской задолженности.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Для принятия решения о расторжении трудового договора с директором Учреждения в соответствии с Трудовым кодексом Российской Федерации или об урегулировании просроченной кредиторской задолженности финансовое управление администрации муниципального образования Кореновский район подготавливает служебную записку с оценкой действий директора Учреждения и предложениями по урегулированию просроченной кредиторской задолженности Учреждения и (или) о расторжении трудового договора с директором Учреждения.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В случае принятия главой муниципального образования Кореновский район решения о расторжении трудового договора с директором Учреждения по основаниям, предусмотренным пунктом 2 части 2 статьи 278 Трудового кодекса Российской Федерации, управлением делами администрации муниципального образования Кореновский район подготавливаются необходимые документы и представляются главе муниципального образования Кореновский район в течение 10 рабочих дней с даты принятия указанного решения.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В случае принятия главой муниципального образования Кореновский район решения об урегулировании просроченной кредиторской задолженности управление делами администрации муниципального образования Кореновский район информирует об этом Учреждение в течение 3 рабочих дней с даты принятия указанного решения.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Учреждением составляется план мероприятий по погашению просроченной кредиторской задолженности с указанием конкретных сроков их выполнения, который представляется на утверждение в финансовое управление администрации  муниципального образования Кореновский район в течение 20 рабочих дней с даты получения Учреждением информации о возможности урегулирования просроченной кредиторской задолженности.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Контроль за выполнением Учреждением плана мероприятий по погашению просроченной кредиторской задолженности осуществляется финансовым управлением администрации муниципального образования Кореновский район.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А.Н. Черненко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 Порядку определения предельно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допустимого значения просроченной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кредиторской задолженности 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бюджетного и 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казенного учреждения муниципального 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образования Кореновский район, превышение 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которого влечет расторжение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трудового договора с директором 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бюджетного и казенного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 по инициативе работодателя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в соответствии с Трудовым кодексом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/>
      </w:pPr>
      <w:r>
        <w:rPr/>
      </w:r>
    </w:p>
    <w:tbl>
      <w:tblPr>
        <w:tblW w:w="9071" w:type="dxa"/>
        <w:jc w:val="lef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>
        <w:trPr/>
        <w:tc>
          <w:tcPr>
            <w:tcW w:w="9071" w:type="dxa"/>
            <w:tcBorders/>
            <w:shd w:fill="auto" w:val="clear"/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bookmarkStart w:id="0" w:name="Par85"/>
            <w:bookmarkEnd w:id="0"/>
            <w:r>
              <w:rPr>
                <w:sz w:val="28"/>
                <w:szCs w:val="28"/>
              </w:rPr>
              <w:t>СВЕДЕНИЯ</w:t>
            </w:r>
          </w:p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кредиторской задолженности муниципального бюджетного и казенного учреждения муниципального образования Кореновский район по состоянию</w:t>
            </w:r>
          </w:p>
          <w:p>
            <w:pPr>
              <w:pStyle w:val="ConsPlusNormal"/>
              <w:jc w:val="center"/>
              <w:rPr/>
            </w:pPr>
            <w:r>
              <w:rPr>
                <w:sz w:val="28"/>
                <w:szCs w:val="28"/>
              </w:rPr>
              <w:t>на "__" ____________ 20__ г.</w:t>
            </w:r>
          </w:p>
        </w:tc>
      </w:tr>
    </w:tbl>
    <w:p>
      <w:pPr>
        <w:pStyle w:val="ConsPlusNormal"/>
        <w:jc w:val="both"/>
        <w:rPr/>
      </w:pPr>
      <w:r>
        <w:rPr/>
      </w:r>
    </w:p>
    <w:tbl>
      <w:tblPr>
        <w:tblW w:w="9070" w:type="dxa"/>
        <w:jc w:val="lef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4"/>
        <w:gridCol w:w="907"/>
        <w:gridCol w:w="1416"/>
        <w:gridCol w:w="1"/>
        <w:gridCol w:w="737"/>
        <w:gridCol w:w="906"/>
        <w:gridCol w:w="1"/>
        <w:gridCol w:w="1758"/>
      </w:tblGrid>
      <w:tr>
        <w:trPr/>
        <w:tc>
          <w:tcPr>
            <w:tcW w:w="6405" w:type="dxa"/>
            <w:gridSpan w:val="5"/>
            <w:tcBorders/>
            <w:shd w:fill="auto" w:val="clear"/>
            <w:vAlign w:val="bottom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07" w:type="dxa"/>
            <w:gridSpan w:val="2"/>
            <w:tcBorders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ConsPlusNormal"/>
              <w:jc w:val="center"/>
              <w:rPr/>
            </w:pPr>
            <w:r>
              <w:rPr/>
              <w:t>КОДЫ</w:t>
            </w:r>
          </w:p>
        </w:tc>
      </w:tr>
      <w:tr>
        <w:trPr/>
        <w:tc>
          <w:tcPr>
            <w:tcW w:w="6405" w:type="dxa"/>
            <w:gridSpan w:val="5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07" w:type="dxa"/>
            <w:gridSpan w:val="2"/>
            <w:tcBorders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right"/>
              <w:rPr/>
            </w:pPr>
            <w:r>
              <w:rPr/>
              <w:t>Дата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6405" w:type="dxa"/>
            <w:gridSpan w:val="5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  <w:t>Наименование</w:t>
            </w:r>
          </w:p>
          <w:p>
            <w:pPr>
              <w:pStyle w:val="ConsPlusNormal"/>
              <w:rPr/>
            </w:pPr>
            <w:r>
              <w:rPr/>
              <w:t>муниципального</w:t>
            </w:r>
          </w:p>
          <w:p>
            <w:pPr>
              <w:pStyle w:val="ConsPlusNormal"/>
              <w:rPr/>
            </w:pPr>
            <w:r>
              <w:rPr/>
              <w:t>бюджетного и казенного</w:t>
            </w:r>
          </w:p>
          <w:p>
            <w:pPr>
              <w:pStyle w:val="ConsPlusNormal"/>
              <w:rPr/>
            </w:pPr>
            <w:r>
              <w:rPr/>
              <w:t>учреждения</w:t>
            </w:r>
          </w:p>
        </w:tc>
        <w:tc>
          <w:tcPr>
            <w:tcW w:w="907" w:type="dxa"/>
            <w:gridSpan w:val="2"/>
            <w:tcBorders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right"/>
              <w:rPr/>
            </w:pPr>
            <w:r>
              <w:rPr/>
              <w:t>по ОКПО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6405" w:type="dxa"/>
            <w:gridSpan w:val="5"/>
            <w:tcBorders>
              <w:bottom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  <w:t>Единица измерения: руб.</w:t>
            </w:r>
          </w:p>
        </w:tc>
        <w:tc>
          <w:tcPr>
            <w:tcW w:w="9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right"/>
              <w:rPr/>
            </w:pPr>
            <w:r>
              <w:rPr/>
              <w:t>по ОКЕИ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383</w:t>
            </w:r>
          </w:p>
        </w:tc>
      </w:tr>
      <w:tr>
        <w:trPr/>
        <w:tc>
          <w:tcPr>
            <w:tcW w:w="3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Состав кредиторской задолженности за счет средств муниципального бюджета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Код строки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/>
              <w:t>Кредиторская задолженность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ConsPlusNormal"/>
              <w:jc w:val="center"/>
              <w:rPr/>
            </w:pPr>
            <w:r>
              <w:rPr/>
              <w:t>Срок просроченной кредиторской задолженности (дни)</w:t>
            </w:r>
          </w:p>
        </w:tc>
      </w:tr>
      <w:tr>
        <w:trPr/>
        <w:tc>
          <w:tcPr>
            <w:tcW w:w="33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Всего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В том числе просроченная</w:t>
            </w:r>
          </w:p>
        </w:tc>
        <w:tc>
          <w:tcPr>
            <w:tcW w:w="175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ConsPlusNormal"/>
              <w:jc w:val="center"/>
              <w:rPr/>
            </w:pPr>
            <w:r>
              <w:rPr/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ConsPlusNormal"/>
              <w:jc w:val="center"/>
              <w:rPr/>
            </w:pPr>
            <w:r>
              <w:rPr/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/>
              <w:t>3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/>
              <w:t>4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/>
              <w:t>5</w:t>
            </w:r>
          </w:p>
        </w:tc>
      </w:tr>
      <w:tr>
        <w:trPr/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  <w:t>Кредиторская задолженность - всего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/>
              <w:t>010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/>
            </w:pPr>
            <w:r>
              <w:rPr/>
              <w:t>в том числе по поставщикам и подрядчикам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/>
              <w:t>011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/>
            </w:pPr>
            <w:r>
              <w:rPr/>
              <w:t>по оплате труда и иным выплатам персоналу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/>
              <w:t>012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ConsPlusNormal"/>
              <w:rPr/>
            </w:pPr>
            <w:r>
              <w:rPr/>
              <w:t>по государственным внебюджетным фондам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/>
              <w:t>013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ConsPlusNormal"/>
              <w:rPr/>
            </w:pPr>
            <w:r>
              <w:rPr/>
              <w:t>по налогам и сборам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/>
              <w:t>014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ConsPlusNormal"/>
              <w:rPr/>
            </w:pPr>
            <w:r>
              <w:rPr/>
              <w:t>по прочим кредиторам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/>
              <w:t>015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5668" w:type="dxa"/>
            <w:gridSpan w:val="4"/>
            <w:vMerge w:val="restart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ConsPlusNormal"/>
              <w:rPr/>
            </w:pPr>
            <w:r>
              <w:rPr/>
              <w:t>Номер страницы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5668" w:type="dxa"/>
            <w:gridSpan w:val="4"/>
            <w:vMerge w:val="continue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ConsPlusNormal"/>
              <w:rPr/>
            </w:pPr>
            <w:r>
              <w:rPr/>
              <w:t>Всего страниц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Директор муниципального бюджетного (казенного)</w:t>
      </w:r>
    </w:p>
    <w:p>
      <w:pPr>
        <w:pStyle w:val="ConsPlusNonformat"/>
        <w:jc w:val="both"/>
        <w:rPr/>
      </w:pPr>
      <w:r>
        <w:rPr/>
        <w:t>учреждения</w:t>
      </w:r>
    </w:p>
    <w:p>
      <w:pPr>
        <w:pStyle w:val="ConsPlusNonformat"/>
        <w:jc w:val="both"/>
        <w:rPr/>
      </w:pPr>
      <w:r>
        <w:rPr/>
        <w:t>(уполномоченное лицо) _____________ ___________ ___________________________</w:t>
      </w:r>
    </w:p>
    <w:p>
      <w:pPr>
        <w:pStyle w:val="ConsPlusNonformat"/>
        <w:jc w:val="both"/>
        <w:rPr/>
      </w:pPr>
      <w:r>
        <w:rPr/>
        <w:t xml:space="preserve">                       </w:t>
      </w:r>
      <w:r>
        <w:rPr/>
        <w:t>(должность)   (подпись)     (расшифровка подписи)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Главный бухгалтер (иное уполномоченное лицо) 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</w:t>
      </w:r>
      <w:r>
        <w:rPr/>
        <w:t>(подпись)   (расшифровка подписи)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Исполнитель _____________ _____________ _____________________ _____________</w:t>
      </w:r>
    </w:p>
    <w:p>
      <w:pPr>
        <w:pStyle w:val="ConsPlusNonformat"/>
        <w:jc w:val="both"/>
        <w:rPr/>
      </w:pPr>
      <w:r>
        <w:rPr/>
        <w:t xml:space="preserve">             </w:t>
      </w:r>
      <w:r>
        <w:rPr/>
        <w:t>(должность)    (подпись)   (расшифровка подписи)   (телефон)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"__" _____________ 20__ г.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А.Н. Черненко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 Порядку определения предельно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допустимого значения просроченной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кредиторской задолженности 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бюджетного и 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казенного учреждения муниципального 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образования Кореновский район, превышение 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которого влечет расторжение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трудового договора с директором 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бюджетного и казенного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 по инициативе работодателя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в соответствии с Трудовым кодексом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tbl>
      <w:tblPr>
        <w:tblW w:w="9071" w:type="dxa"/>
        <w:jc w:val="lef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>
        <w:trPr/>
        <w:tc>
          <w:tcPr>
            <w:tcW w:w="9071" w:type="dxa"/>
            <w:tcBorders/>
            <w:shd w:fill="auto" w:val="clear"/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bookmarkStart w:id="1" w:name="Par187"/>
            <w:bookmarkEnd w:id="1"/>
            <w:r>
              <w:rPr>
                <w:sz w:val="28"/>
                <w:szCs w:val="28"/>
              </w:rPr>
              <w:t>СВЕДЕНИЯ</w:t>
            </w:r>
          </w:p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просроченной кредиторской задолженности муниципального бюджетного и казенного учреждения муниципального образования Кореновский район</w:t>
            </w:r>
          </w:p>
          <w:p>
            <w:pPr>
              <w:pStyle w:val="ConsPlusNormal"/>
              <w:jc w:val="center"/>
              <w:rPr/>
            </w:pPr>
            <w:r>
              <w:rPr>
                <w:sz w:val="28"/>
                <w:szCs w:val="28"/>
              </w:rPr>
              <w:t>на "__" ___________ 20__ г.</w:t>
            </w:r>
          </w:p>
        </w:tc>
      </w:tr>
    </w:tbl>
    <w:p>
      <w:pPr>
        <w:pStyle w:val="ConsPlusNormal"/>
        <w:jc w:val="both"/>
        <w:rPr/>
      </w:pPr>
      <w:r>
        <w:rPr/>
      </w:r>
    </w:p>
    <w:tbl>
      <w:tblPr>
        <w:tblW w:w="9060" w:type="dxa"/>
        <w:jc w:val="lef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50"/>
        <w:gridCol w:w="734"/>
        <w:gridCol w:w="1238"/>
        <w:gridCol w:w="786"/>
        <w:gridCol w:w="1022"/>
        <w:gridCol w:w="1"/>
        <w:gridCol w:w="908"/>
        <w:gridCol w:w="848"/>
        <w:gridCol w:w="1"/>
        <w:gridCol w:w="1"/>
        <w:gridCol w:w="1870"/>
      </w:tblGrid>
      <w:tr>
        <w:trPr/>
        <w:tc>
          <w:tcPr>
            <w:tcW w:w="6339" w:type="dxa"/>
            <w:gridSpan w:val="7"/>
            <w:tcBorders/>
            <w:shd w:fill="auto" w:val="clear"/>
            <w:vAlign w:val="bottom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49" w:type="dxa"/>
            <w:gridSpan w:val="2"/>
            <w:tcBorders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ConsPlusNormal"/>
              <w:jc w:val="center"/>
              <w:rPr/>
            </w:pPr>
            <w:r>
              <w:rPr/>
              <w:t>КОДЫ</w:t>
            </w:r>
          </w:p>
        </w:tc>
      </w:tr>
      <w:tr>
        <w:trPr/>
        <w:tc>
          <w:tcPr>
            <w:tcW w:w="6339" w:type="dxa"/>
            <w:gridSpan w:val="7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49" w:type="dxa"/>
            <w:gridSpan w:val="2"/>
            <w:tcBorders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right"/>
              <w:rPr/>
            </w:pPr>
            <w:r>
              <w:rPr/>
              <w:t>Дата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6339" w:type="dxa"/>
            <w:gridSpan w:val="7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  <w:t>Наименование</w:t>
            </w:r>
          </w:p>
          <w:p>
            <w:pPr>
              <w:pStyle w:val="ConsPlusNormal"/>
              <w:rPr/>
            </w:pPr>
            <w:r>
              <w:rPr/>
              <w:t>муниципального</w:t>
            </w:r>
          </w:p>
          <w:p>
            <w:pPr>
              <w:pStyle w:val="ConsPlusNormal"/>
              <w:rPr/>
            </w:pPr>
            <w:r>
              <w:rPr/>
              <w:t>бюджетного и казенного</w:t>
            </w:r>
          </w:p>
          <w:p>
            <w:pPr>
              <w:pStyle w:val="ConsPlusNormal"/>
              <w:rPr/>
            </w:pPr>
            <w:r>
              <w:rPr/>
              <w:t>учреждения</w:t>
            </w:r>
          </w:p>
        </w:tc>
        <w:tc>
          <w:tcPr>
            <w:tcW w:w="849" w:type="dxa"/>
            <w:gridSpan w:val="2"/>
            <w:tcBorders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right"/>
              <w:rPr/>
            </w:pPr>
            <w:r>
              <w:rPr/>
              <w:t>по ОКПО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6339" w:type="dxa"/>
            <w:gridSpan w:val="7"/>
            <w:tcBorders>
              <w:bottom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  <w:t>Единица измерения: руб.</w:t>
            </w:r>
          </w:p>
        </w:tc>
        <w:tc>
          <w:tcPr>
            <w:tcW w:w="8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right"/>
              <w:rPr/>
            </w:pPr>
            <w:r>
              <w:rPr/>
              <w:t>по ОКЕИ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383</w:t>
            </w:r>
          </w:p>
        </w:tc>
      </w:tr>
      <w:tr>
        <w:trPr/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Наименование кредитора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Код строки</w:t>
            </w:r>
          </w:p>
        </w:tc>
        <w:tc>
          <w:tcPr>
            <w:tcW w:w="3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Муниципальные контракты (договоры)</w:t>
            </w:r>
          </w:p>
        </w:tc>
        <w:tc>
          <w:tcPr>
            <w:tcW w:w="17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Причины образования просроченной кредиторской задолженности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Меры, принимаемые по погашению просроченной кредиторской задолженности</w:t>
            </w:r>
          </w:p>
        </w:tc>
      </w:tr>
      <w:tr>
        <w:trPr/>
        <w:tc>
          <w:tcPr>
            <w:tcW w:w="16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реквизиты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сумма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предмет</w:t>
            </w:r>
          </w:p>
        </w:tc>
        <w:tc>
          <w:tcPr>
            <w:tcW w:w="175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187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ConsPlusNormal"/>
              <w:jc w:val="center"/>
              <w:rPr/>
            </w:pPr>
            <w:r>
              <w:rPr/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ConsPlusNormal"/>
              <w:rPr/>
            </w:pPr>
            <w:r>
              <w:rPr/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/>
              <w:t>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/>
            </w:pPr>
            <w:r>
              <w:rPr/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/>
              <w:t>5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ConsPlusNormal"/>
              <w:jc w:val="center"/>
              <w:rPr/>
            </w:pPr>
            <w:r>
              <w:rPr/>
              <w:t>6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7189" w:type="dxa"/>
            <w:gridSpan w:val="10"/>
            <w:tcBorders>
              <w:top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7189" w:type="dxa"/>
            <w:gridSpan w:val="10"/>
            <w:tcBorders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right"/>
              <w:rPr/>
            </w:pPr>
            <w:r>
              <w:rPr/>
              <w:t>Номер</w:t>
            </w:r>
          </w:p>
          <w:p>
            <w:pPr>
              <w:pStyle w:val="ConsPlusNormal"/>
              <w:jc w:val="right"/>
              <w:rPr/>
            </w:pPr>
            <w:r>
              <w:rPr/>
              <w:t>страницы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7189" w:type="dxa"/>
            <w:gridSpan w:val="10"/>
            <w:tcBorders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right"/>
              <w:rPr/>
            </w:pPr>
            <w:r>
              <w:rPr/>
              <w:t>Всего страниц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Директор муниципального бюджетного (казенного)</w:t>
      </w:r>
    </w:p>
    <w:p>
      <w:pPr>
        <w:pStyle w:val="ConsPlusNonformat"/>
        <w:jc w:val="both"/>
        <w:rPr/>
      </w:pPr>
      <w:r>
        <w:rPr/>
        <w:t>учреждения</w:t>
      </w:r>
    </w:p>
    <w:p>
      <w:pPr>
        <w:pStyle w:val="ConsPlusNonformat"/>
        <w:jc w:val="both"/>
        <w:rPr/>
      </w:pPr>
      <w:r>
        <w:rPr/>
        <w:t>(уполномоченное лицо) _____________ ___________ ___________________________</w:t>
      </w:r>
    </w:p>
    <w:p>
      <w:pPr>
        <w:pStyle w:val="ConsPlusNonformat"/>
        <w:jc w:val="both"/>
        <w:rPr/>
      </w:pPr>
      <w:r>
        <w:rPr/>
        <w:t xml:space="preserve">                       </w:t>
      </w:r>
      <w:r>
        <w:rPr/>
        <w:t>(должность)   (подпись)     (расшифровка подписи)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Главный бухгалтер (иное уполномоченное лицо) 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</w:t>
      </w:r>
      <w:r>
        <w:rPr/>
        <w:t>(подпись)   (расшифровка подписи)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Исполнитель _____________ _____________ _____________________ _____________</w:t>
      </w:r>
    </w:p>
    <w:p>
      <w:pPr>
        <w:pStyle w:val="ConsPlusNonformat"/>
        <w:jc w:val="both"/>
        <w:rPr/>
      </w:pPr>
      <w:r>
        <w:rPr/>
        <w:t xml:space="preserve">             </w:t>
      </w:r>
      <w:r>
        <w:rPr/>
        <w:t>(должность)    (подпись)   (расшифровка подписи)   (телефон)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"__" _____________ 20__ г.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А.Н. Черненко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 Порядку определения предельно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допустимого значения просроченной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кредиторской задолженности 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бюджетного и 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казенного учреждения муниципального 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образования Кореновский район, превышение 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которого влечет расторжение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трудового договора с директором 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бюджетного и казенного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 по инициативе работодателя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в соответствии с Трудовым кодексом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tbl>
      <w:tblPr>
        <w:tblW w:w="9070" w:type="dxa"/>
        <w:jc w:val="lef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>
        <w:trPr/>
        <w:tc>
          <w:tcPr>
            <w:tcW w:w="9070" w:type="dxa"/>
            <w:tcBorders/>
            <w:shd w:fill="auto" w:val="clear"/>
          </w:tcPr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2" w:name="Par279"/>
            <w:bookmarkStart w:id="3" w:name="Par279"/>
            <w:bookmarkEnd w:id="3"/>
          </w:p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</w:t>
            </w:r>
          </w:p>
          <w:p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просроченной кредиторской задолженности муниципального бюджетного и казенного учреждения муниципального образования Кореновский район по состоянию</w:t>
            </w:r>
          </w:p>
          <w:p>
            <w:pPr>
              <w:pStyle w:val="ConsPlusNormal"/>
              <w:jc w:val="center"/>
              <w:rPr/>
            </w:pPr>
            <w:r>
              <w:rPr>
                <w:sz w:val="28"/>
                <w:szCs w:val="28"/>
              </w:rPr>
              <w:t>на "__" __________ 20__ г</w:t>
            </w:r>
            <w:r>
              <w:rPr/>
              <w:t>.</w:t>
            </w:r>
          </w:p>
        </w:tc>
      </w:tr>
    </w:tbl>
    <w:p>
      <w:pPr>
        <w:pStyle w:val="ConsPlusNormal"/>
        <w:jc w:val="both"/>
        <w:rPr/>
      </w:pPr>
      <w:r>
        <w:rPr/>
      </w:r>
    </w:p>
    <w:tbl>
      <w:tblPr>
        <w:tblW w:w="9070" w:type="dxa"/>
        <w:jc w:val="lef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51"/>
        <w:gridCol w:w="2890"/>
        <w:gridCol w:w="1584"/>
        <w:gridCol w:w="1645"/>
      </w:tblGrid>
      <w:tr>
        <w:trPr/>
        <w:tc>
          <w:tcPr>
            <w:tcW w:w="7425" w:type="dxa"/>
            <w:gridSpan w:val="3"/>
            <w:tcBorders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ConsPlusNormal"/>
              <w:jc w:val="center"/>
              <w:rPr/>
            </w:pPr>
            <w:r>
              <w:rPr/>
              <w:t>КОДЫ</w:t>
            </w:r>
          </w:p>
        </w:tc>
      </w:tr>
      <w:tr>
        <w:trPr/>
        <w:tc>
          <w:tcPr>
            <w:tcW w:w="7425" w:type="dxa"/>
            <w:gridSpan w:val="3"/>
            <w:tcBorders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ConsPlusNormal"/>
              <w:jc w:val="right"/>
              <w:rPr/>
            </w:pPr>
            <w:r>
              <w:rPr/>
              <w:t>Дата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2951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890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229" w:type="dxa"/>
            <w:gridSpan w:val="2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2951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  <w:t>Наименование</w:t>
            </w:r>
          </w:p>
          <w:p>
            <w:pPr>
              <w:pStyle w:val="ConsPlusNormal"/>
              <w:rPr/>
            </w:pPr>
            <w:r>
              <w:rPr/>
              <w:t>муниципального</w:t>
            </w:r>
          </w:p>
          <w:p>
            <w:pPr>
              <w:pStyle w:val="ConsPlusNormal"/>
              <w:rPr/>
            </w:pPr>
            <w:r>
              <w:rPr/>
              <w:t>бюджетного и казенного</w:t>
            </w:r>
          </w:p>
          <w:p>
            <w:pPr>
              <w:pStyle w:val="ConsPlusNormal"/>
              <w:rPr/>
            </w:pPr>
            <w:r>
              <w:rPr/>
              <w:t>учреждения</w:t>
            </w:r>
          </w:p>
        </w:tc>
        <w:tc>
          <w:tcPr>
            <w:tcW w:w="289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229" w:type="dxa"/>
            <w:gridSpan w:val="2"/>
            <w:tcBorders/>
            <w:shd w:fill="auto" w:val="clear"/>
            <w:vAlign w:val="bottom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2951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  <w:t>Единица измерения: руб.</w:t>
            </w:r>
          </w:p>
        </w:tc>
        <w:tc>
          <w:tcPr>
            <w:tcW w:w="289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229" w:type="dxa"/>
            <w:gridSpan w:val="2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tbl>
      <w:tblPr>
        <w:tblW w:w="9074" w:type="dxa"/>
        <w:jc w:val="lef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58"/>
        <w:gridCol w:w="849"/>
        <w:gridCol w:w="1757"/>
        <w:gridCol w:w="1309"/>
      </w:tblGrid>
      <w:tr>
        <w:trPr/>
        <w:tc>
          <w:tcPr>
            <w:tcW w:w="9073" w:type="dxa"/>
            <w:gridSpan w:val="4"/>
            <w:tcBorders/>
            <w:shd w:fill="auto" w:val="clear"/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2"/>
              <w:rPr/>
            </w:pPr>
            <w:r>
              <w:rPr/>
              <w:t>Раздел I. Динамика размера просроченной кредиторской задолженности</w:t>
            </w:r>
          </w:p>
        </w:tc>
      </w:tr>
      <w:tr>
        <w:trPr/>
        <w:tc>
          <w:tcPr>
            <w:tcW w:w="9073" w:type="dxa"/>
            <w:gridSpan w:val="4"/>
            <w:tcBorders>
              <w:bottom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5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Наименование кредиторской задолженности муниципального бюджетного и казенного учреждения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Код строки</w:t>
            </w:r>
          </w:p>
        </w:tc>
        <w:tc>
          <w:tcPr>
            <w:tcW w:w="3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Сумма просроченной кредиторской задолженности на отчетную дату</w:t>
            </w:r>
          </w:p>
        </w:tc>
      </w:tr>
      <w:tr>
        <w:trPr/>
        <w:tc>
          <w:tcPr>
            <w:tcW w:w="5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предыдущую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текущую</w:t>
            </w:r>
          </w:p>
        </w:tc>
      </w:tr>
      <w:tr>
        <w:trPr/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both"/>
              <w:rPr/>
            </w:pPr>
            <w:r>
              <w:rPr/>
              <w:t>Кредиторская задолженность по оплате труда и иным выплатам персоналу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/>
            </w:pPr>
            <w:bookmarkStart w:id="4" w:name="Par313"/>
            <w:bookmarkEnd w:id="4"/>
            <w:r>
              <w:rPr/>
              <w:t>010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both"/>
              <w:rPr/>
            </w:pPr>
            <w:r>
              <w:rPr/>
              <w:t>Кредиторская задолженность по налоговым и иным платежам в бюджеты бюджетной системы Российской Федерации и внебюджетные фонды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/>
            </w:pPr>
            <w:bookmarkStart w:id="5" w:name="Par317"/>
            <w:bookmarkEnd w:id="5"/>
            <w:r>
              <w:rPr/>
              <w:t>020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ConsPlusNormal"/>
              <w:jc w:val="both"/>
              <w:rPr/>
            </w:pPr>
            <w:r>
              <w:rPr/>
              <w:t>Кредиторская задолженность перед поставщиками и подрядчиками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/>
            </w:pPr>
            <w:bookmarkStart w:id="6" w:name="Par321"/>
            <w:bookmarkEnd w:id="6"/>
            <w:r>
              <w:rPr/>
              <w:t>030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both"/>
              <w:rPr/>
            </w:pPr>
            <w:r>
              <w:rPr/>
              <w:t>Общая сумма кредиторской задолженности</w:t>
            </w:r>
          </w:p>
          <w:p>
            <w:pPr>
              <w:pStyle w:val="ConsPlusNormal"/>
              <w:jc w:val="both"/>
              <w:rPr/>
            </w:pPr>
            <w:r>
              <w:rPr/>
              <w:t>(</w:t>
            </w:r>
            <w:hyperlink w:anchor="Par313" w:tgtFrame="010">
              <w:r>
                <w:rPr>
                  <w:rStyle w:val="ListLabel3"/>
                </w:rPr>
                <w:t>стр. 010</w:t>
              </w:r>
            </w:hyperlink>
            <w:r>
              <w:rPr/>
              <w:t xml:space="preserve"> + </w:t>
            </w:r>
            <w:hyperlink w:anchor="Par317" w:tgtFrame="020">
              <w:r>
                <w:rPr>
                  <w:rStyle w:val="ListLabel3"/>
                </w:rPr>
                <w:t>стр. 020</w:t>
              </w:r>
            </w:hyperlink>
            <w:r>
              <w:rPr/>
              <w:t xml:space="preserve"> + </w:t>
            </w:r>
            <w:hyperlink w:anchor="Par321" w:tgtFrame="030">
              <w:r>
                <w:rPr>
                  <w:rStyle w:val="ListLabel3"/>
                </w:rPr>
                <w:t>стр. 030</w:t>
              </w:r>
            </w:hyperlink>
            <w:r>
              <w:rPr/>
              <w:t>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/>
              <w:t>100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tbl>
      <w:tblPr>
        <w:tblW w:w="9074" w:type="dxa"/>
        <w:jc w:val="lef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50"/>
        <w:gridCol w:w="964"/>
        <w:gridCol w:w="1752"/>
        <w:gridCol w:w="1707"/>
      </w:tblGrid>
      <w:tr>
        <w:trPr/>
        <w:tc>
          <w:tcPr>
            <w:tcW w:w="9073" w:type="dxa"/>
            <w:gridSpan w:val="4"/>
            <w:tcBorders/>
            <w:shd w:fill="auto" w:val="clear"/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2"/>
              <w:rPr/>
            </w:pPr>
            <w:r>
              <w:rPr/>
              <w:t>Раздел II. Стоимость активов муниципального бюджетного и казенного  учреждения (за исключением стоимости особо ценного движимого имущества и недвижимого имущества)</w:t>
            </w:r>
          </w:p>
        </w:tc>
      </w:tr>
      <w:tr>
        <w:trPr/>
        <w:tc>
          <w:tcPr>
            <w:tcW w:w="9073" w:type="dxa"/>
            <w:gridSpan w:val="4"/>
            <w:tcBorders>
              <w:bottom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Вид актива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Код строки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Стоимость активов по данным бюджетного (бухгалтерского) учета на отчетную дату</w:t>
            </w:r>
          </w:p>
        </w:tc>
      </w:tr>
      <w:tr>
        <w:trPr/>
        <w:tc>
          <w:tcPr>
            <w:tcW w:w="46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9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предыдущую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текущую</w:t>
            </w:r>
          </w:p>
        </w:tc>
      </w:tr>
      <w:tr>
        <w:trPr/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both"/>
              <w:rPr/>
            </w:pPr>
            <w:r>
              <w:rPr/>
              <w:t>Денежные средства учреждения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/>
            </w:pPr>
            <w:bookmarkStart w:id="7" w:name="Par342"/>
            <w:bookmarkEnd w:id="7"/>
            <w:r>
              <w:rPr/>
              <w:t>110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both"/>
              <w:rPr/>
            </w:pPr>
            <w:r>
              <w:rPr/>
              <w:t>Дебиторская задолженность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/>
            </w:pPr>
            <w:bookmarkStart w:id="8" w:name="Par346"/>
            <w:bookmarkEnd w:id="8"/>
            <w:r>
              <w:rPr/>
              <w:t>120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ConsPlusNormal"/>
              <w:jc w:val="both"/>
              <w:rPr/>
            </w:pPr>
            <w:r>
              <w:rPr/>
              <w:t>Остаточная стоимость движимого имущества, относящегося к объектам основных средств (за исключением особо ценного)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/>
            </w:pPr>
            <w:bookmarkStart w:id="9" w:name="Par350"/>
            <w:bookmarkEnd w:id="9"/>
            <w:r>
              <w:rPr/>
              <w:t>130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both"/>
              <w:rPr/>
            </w:pPr>
            <w:r>
              <w:rPr/>
              <w:t>Иные активы, обеспечивающие исполнение принятых учреждением обязательств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/>
            </w:pPr>
            <w:bookmarkStart w:id="10" w:name="Par354"/>
            <w:bookmarkEnd w:id="10"/>
            <w:r>
              <w:rPr/>
              <w:t>140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ConsPlusNormal"/>
              <w:jc w:val="both"/>
              <w:rPr/>
            </w:pPr>
            <w:r>
              <w:rPr/>
              <w:t>Активы, находящиеся под обременением (залог, изъятые из оборота)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/>
            </w:pPr>
            <w:bookmarkStart w:id="11" w:name="Par358"/>
            <w:bookmarkEnd w:id="11"/>
            <w:r>
              <w:rPr/>
              <w:t>150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  <w:t>ИТОГО</w:t>
            </w:r>
          </w:p>
          <w:p>
            <w:pPr>
              <w:pStyle w:val="ConsPlusNormal"/>
              <w:rPr/>
            </w:pPr>
            <w:r>
              <w:rPr/>
              <w:t>(</w:t>
            </w:r>
            <w:hyperlink w:anchor="Par342" w:tgtFrame="110">
              <w:r>
                <w:rPr>
                  <w:rStyle w:val="ListLabel3"/>
                </w:rPr>
                <w:t>стр. 110</w:t>
              </w:r>
            </w:hyperlink>
            <w:r>
              <w:rPr/>
              <w:t xml:space="preserve"> + </w:t>
            </w:r>
            <w:hyperlink w:anchor="Par346" w:tgtFrame="120">
              <w:r>
                <w:rPr>
                  <w:rStyle w:val="ListLabel3"/>
                </w:rPr>
                <w:t>стр. 120</w:t>
              </w:r>
            </w:hyperlink>
            <w:r>
              <w:rPr/>
              <w:t xml:space="preserve"> + </w:t>
            </w:r>
            <w:hyperlink w:anchor="Par350" w:tgtFrame="130">
              <w:r>
                <w:rPr>
                  <w:rStyle w:val="ListLabel3"/>
                </w:rPr>
                <w:t>стр. 130</w:t>
              </w:r>
            </w:hyperlink>
            <w:r>
              <w:rPr/>
              <w:t xml:space="preserve"> + </w:t>
            </w:r>
            <w:hyperlink w:anchor="Par354" w:tgtFrame="140">
              <w:r>
                <w:rPr>
                  <w:rStyle w:val="ListLabel3"/>
                </w:rPr>
                <w:t>стр. 140</w:t>
              </w:r>
            </w:hyperlink>
            <w:r>
              <w:rPr/>
              <w:t xml:space="preserve"> - </w:t>
            </w:r>
            <w:hyperlink w:anchor="Par358" w:tgtFrame="150">
              <w:r>
                <w:rPr>
                  <w:rStyle w:val="ListLabel3"/>
                </w:rPr>
                <w:t>стр. 150</w:t>
              </w:r>
            </w:hyperlink>
            <w:r>
              <w:rPr/>
              <w:t>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/>
              <w:t>200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tbl>
      <w:tblPr>
        <w:tblW w:w="9074" w:type="dxa"/>
        <w:jc w:val="lef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53"/>
        <w:gridCol w:w="705"/>
        <w:gridCol w:w="1587"/>
        <w:gridCol w:w="1190"/>
        <w:gridCol w:w="1"/>
        <w:gridCol w:w="1838"/>
      </w:tblGrid>
      <w:tr>
        <w:trPr/>
        <w:tc>
          <w:tcPr>
            <w:tcW w:w="9074" w:type="dxa"/>
            <w:gridSpan w:val="6"/>
            <w:tcBorders/>
            <w:shd w:fill="auto" w:val="clear"/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2"/>
              <w:rPr/>
            </w:pPr>
            <w:r>
              <w:rPr/>
              <w:t>Раздел III. Предельно допустимое значение просроченной кредиторской задолженности</w:t>
            </w:r>
          </w:p>
        </w:tc>
      </w:tr>
      <w:tr>
        <w:trPr/>
        <w:tc>
          <w:tcPr>
            <w:tcW w:w="9074" w:type="dxa"/>
            <w:gridSpan w:val="6"/>
            <w:tcBorders>
              <w:bottom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3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Код строки</w:t>
            </w:r>
          </w:p>
        </w:tc>
        <w:tc>
          <w:tcPr>
            <w:tcW w:w="2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Сумма на отчетную дату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Срок просроченной кредиторской задолженности (дни)</w:t>
            </w:r>
          </w:p>
        </w:tc>
      </w:tr>
      <w:tr>
        <w:trPr/>
        <w:tc>
          <w:tcPr>
            <w:tcW w:w="3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предыдущую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текущую</w:t>
            </w:r>
          </w:p>
        </w:tc>
        <w:tc>
          <w:tcPr>
            <w:tcW w:w="18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4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5</w:t>
            </w:r>
          </w:p>
        </w:tc>
      </w:tr>
      <w:tr>
        <w:trPr/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/>
            </w:pPr>
            <w:r>
              <w:rPr/>
              <w:t>Величина превышения общей суммы просроченной кредиторской задолженности предельно допустимого значения по всем видам деятельности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/>
            </w:pPr>
            <w:r>
              <w:rPr/>
              <w:t>300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Директор муниципального бюджетного (казенного)</w:t>
      </w:r>
    </w:p>
    <w:p>
      <w:pPr>
        <w:pStyle w:val="ConsPlusNonformat"/>
        <w:jc w:val="both"/>
        <w:rPr/>
      </w:pPr>
      <w:r>
        <w:rPr/>
        <w:t>учреждения</w:t>
      </w:r>
    </w:p>
    <w:p>
      <w:pPr>
        <w:pStyle w:val="ConsPlusNonformat"/>
        <w:jc w:val="both"/>
        <w:rPr/>
      </w:pPr>
      <w:r>
        <w:rPr/>
        <w:t>(уполномоченное лицо) _____________ ___________ ___________________________</w:t>
      </w:r>
    </w:p>
    <w:p>
      <w:pPr>
        <w:pStyle w:val="ConsPlusNonformat"/>
        <w:jc w:val="both"/>
        <w:rPr/>
      </w:pPr>
      <w:r>
        <w:rPr/>
        <w:t xml:space="preserve">                       </w:t>
      </w:r>
      <w:r>
        <w:rPr/>
        <w:t>(должность)   (подпись)     (расшифровка подписи)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Главный бухгалтер (иное уполномоченное лицо) 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</w:t>
      </w:r>
      <w:r>
        <w:rPr/>
        <w:t>(подпись)   (расшифровка подписи)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Исполнитель _____________ _____________ _____________________ _____________</w:t>
      </w:r>
    </w:p>
    <w:p>
      <w:pPr>
        <w:pStyle w:val="ConsPlusNonformat"/>
        <w:jc w:val="both"/>
        <w:rPr/>
      </w:pPr>
      <w:r>
        <w:rPr/>
        <w:t xml:space="preserve">             </w:t>
      </w:r>
      <w:r>
        <w:rPr/>
        <w:t>(должность)    (подпись)   (расшифровка подписи)   (телефон)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"__" _____________ 20__ г.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А.Н. Черненко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headerReference w:type="default" r:id="rId4"/>
      <w:type w:val="nextPage"/>
      <w:pgSz w:w="11906" w:h="16838"/>
      <w:pgMar w:left="1701" w:right="567" w:header="709" w:top="1134" w:footer="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4470"/>
              <wp:effectExtent l="0" t="0" r="0" b="0"/>
              <wp:wrapSquare wrapText="largest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044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7.05pt;height:16.1pt;mso-wrap-distance-left:0pt;mso-wrap-distance-right:0pt;mso-wrap-distance-top:0pt;mso-wrap-distance-bottom:0pt;margin-top:0.05pt;mso-position-vertical-relative:text;margin-left:237.4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d376aa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link w:val="a4"/>
    <w:qFormat/>
    <w:rsid w:val="00cf3d3f"/>
    <w:rPr>
      <w:sz w:val="28"/>
      <w:szCs w:val="28"/>
      <w:lang w:val="ru-RU" w:eastAsia="ru-RU" w:bidi="ar-SA"/>
    </w:rPr>
  </w:style>
  <w:style w:type="character" w:styleId="Pagenumber">
    <w:name w:val="page number"/>
    <w:basedOn w:val="DefaultParagraphFont"/>
    <w:qFormat/>
    <w:rsid w:val="00cf3d3f"/>
    <w:rPr/>
  </w:style>
  <w:style w:type="character" w:styleId="Style13" w:customStyle="1">
    <w:name w:val="Нижний колонтитул Знак"/>
    <w:basedOn w:val="DefaultParagraphFont"/>
    <w:link w:val="a8"/>
    <w:qFormat/>
    <w:rsid w:val="009e31d3"/>
    <w:rPr>
      <w:sz w:val="24"/>
      <w:szCs w:val="24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a64d6b"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50577d"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kern w:val="0"/>
      <w:sz w:val="24"/>
      <w:szCs w:val="20"/>
      <w:lang w:val="ru-RU" w:eastAsia="ru-RU" w:bidi="ar-SA"/>
    </w:rPr>
  </w:style>
  <w:style w:type="paragraph" w:styleId="ConsPlusTitle" w:customStyle="1">
    <w:name w:val="ConsPlusTitle"/>
    <w:qFormat/>
    <w:rsid w:val="0050577d"/>
    <w:pPr>
      <w:widowControl w:val="false"/>
      <w:bidi w:val="0"/>
      <w:jc w:val="left"/>
    </w:pPr>
    <w:rPr>
      <w:rFonts w:ascii="Arial" w:hAnsi="Arial" w:cs="Arial" w:eastAsia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NormalWeb">
    <w:name w:val="Normal (Web)"/>
    <w:basedOn w:val="Normal"/>
    <w:qFormat/>
    <w:rsid w:val="009c454b"/>
    <w:pPr>
      <w:spacing w:beforeAutospacing="1" w:afterAutospacing="1"/>
    </w:pPr>
    <w:rPr/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5"/>
    <w:rsid w:val="00cf3d3f"/>
    <w:pPr>
      <w:tabs>
        <w:tab w:val="clear" w:pos="708"/>
        <w:tab w:val="center" w:pos="4677" w:leader="none"/>
        <w:tab w:val="right" w:pos="9355" w:leader="none"/>
      </w:tabs>
    </w:pPr>
    <w:rPr>
      <w:sz w:val="28"/>
      <w:szCs w:val="28"/>
    </w:rPr>
  </w:style>
  <w:style w:type="paragraph" w:styleId="S1" w:customStyle="1">
    <w:name w:val="s_1"/>
    <w:basedOn w:val="Normal"/>
    <w:qFormat/>
    <w:rsid w:val="00cf3d3f"/>
    <w:pPr>
      <w:spacing w:beforeAutospacing="1" w:afterAutospacing="1"/>
    </w:pPr>
    <w:rPr/>
  </w:style>
  <w:style w:type="paragraph" w:styleId="Style22">
    <w:name w:val="Footer"/>
    <w:basedOn w:val="Normal"/>
    <w:link w:val="a9"/>
    <w:rsid w:val="009e31d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cd4f4e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LibreOffice/6.3.3.2$Windows_x86 LibreOffice_project/a64200df03143b798afd1ec74a12ab50359878ed</Application>
  <Pages>13</Pages>
  <Words>1621</Words>
  <Characters>12862</Characters>
  <CharactersWithSpaces>15054</CharactersWithSpaces>
  <Paragraphs>256</Paragraphs>
  <Company>ФУ МО Кореновский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2021-01-29T08:15:00Z</dcterms:created>
  <dc:creator>Максим</dc:creator>
  <dc:description/>
  <dc:language>ru-RU</dc:language>
  <cp:lastModifiedBy/>
  <cp:lastPrinted>2021-02-11T11:14:00Z</cp:lastPrinted>
  <dcterms:modified xsi:type="dcterms:W3CDTF">2021-02-24T10:04:53Z</dcterms:modified>
  <cp:revision>8</cp:revision>
  <dc:subject/>
  <dc:title>Согласно 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ФУ МО Кореновский район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