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numPr>
          <w:ilvl w:val="0"/>
          <w:numId w:val="3"/>
        </w:numPr>
        <w:tabs>
          <w:tab w:val="clear" w:pos="708"/>
          <w:tab w:val="left" w:pos="0" w:leader="none"/>
        </w:tabs>
        <w:rPr>
          <w:lang w:bidi="zxx"/>
        </w:rPr>
      </w:pPr>
      <w:r>
        <w:rPr>
          <w:sz w:val="28"/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4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</w:rPr>
      </w:pPr>
      <w:r>
        <w:rPr>
          <w:lang w:bidi="zxx"/>
        </w:rPr>
      </w:r>
    </w:p>
    <w:p>
      <w:pPr>
        <w:pStyle w:val="2"/>
        <w:numPr>
          <w:ilvl w:val="1"/>
          <w:numId w:val="5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6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>т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03.03.2023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299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4"/>
          <w:szCs w:val="24"/>
          <w:lang w:bidi="zxx"/>
        </w:rPr>
        <w:t>г.  Кореновск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rStyle w:val="FontStyle24"/>
          <w:b/>
          <w:sz w:val="28"/>
          <w:szCs w:val="28"/>
        </w:rPr>
        <w:t>реестра</w:t>
      </w:r>
      <w:r>
        <w:rPr>
          <w:sz w:val="28"/>
          <w:szCs w:val="28"/>
        </w:rPr>
        <w:t xml:space="preserve">                                                                        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муниципальных услуг администрации</w:t>
      </w:r>
      <w:r>
        <w:rPr>
          <w:b/>
          <w:sz w:val="28"/>
          <w:szCs w:val="28"/>
        </w:rPr>
        <w:t xml:space="preserve"> муниципального образования Кореновский район</w:t>
      </w:r>
      <w:r>
        <w:rPr>
          <w:b/>
        </w:rPr>
        <w:t xml:space="preserve">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1"/>
        <w:spacing w:lineRule="auto" w:line="216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 </w:t>
      </w:r>
      <w:r>
        <w:rPr>
          <w:rFonts w:cs="Times New Roman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3"/>
        <w:spacing w:lineRule="auto" w:line="216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9"/>
          <w:sz w:val="28"/>
          <w:szCs w:val="28"/>
        </w:rPr>
        <w:t>муниципальных услуг 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(приложение);</w:t>
      </w:r>
    </w:p>
    <w:p>
      <w:pPr>
        <w:pStyle w:val="11"/>
        <w:spacing w:lineRule="auto" w:line="21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1"/>
        <w:spacing w:lineRule="auto" w:line="216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08 сентября 2022 года № 1331 «</w:t>
      </w:r>
      <w:r>
        <w:rPr>
          <w:rFonts w:cs="Times New Roman"/>
          <w:bCs/>
          <w:sz w:val="28"/>
          <w:szCs w:val="28"/>
        </w:rPr>
        <w:t xml:space="preserve">Об утверждении реестра </w:t>
      </w:r>
      <w:r>
        <w:rPr>
          <w:rStyle w:val="FontStyle19"/>
          <w:sz w:val="28"/>
          <w:szCs w:val="28"/>
        </w:rPr>
        <w:t xml:space="preserve">муниципальных услуг </w:t>
      </w:r>
      <w:r>
        <w:rPr>
          <w:rStyle w:val="FontStyle16"/>
          <w:b w:val="false"/>
          <w:sz w:val="28"/>
          <w:szCs w:val="28"/>
        </w:rPr>
        <w:t>отраслевых (функциональных) органов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1"/>
        <w:spacing w:lineRule="auto" w:line="216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1"/>
        <w:spacing w:lineRule="auto" w:line="216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С.В. Колупайко. </w:t>
      </w:r>
    </w:p>
    <w:p>
      <w:pPr>
        <w:pStyle w:val="11"/>
        <w:spacing w:lineRule="auto" w:line="216"/>
        <w:ind w:firstLine="709"/>
        <w:jc w:val="both"/>
        <w:rPr/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17" w:top="567" w:footer="215" w:bottom="567"/>
          <w:pgNumType w:fmt="decimal"/>
          <w:formProt w:val="false"/>
          <w:textDirection w:val="lrTb"/>
          <w:docGrid w:type="default" w:linePitch="360" w:charSpace="18022"/>
        </w:sect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</w:t>
      </w:r>
    </w:p>
    <w:p>
      <w:pPr>
        <w:pStyle w:val="11"/>
        <w:ind w:right="-1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1"/>
        <w:jc w:val="center"/>
        <w:rPr/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от  </w:t>
      </w:r>
      <w:r>
        <w:rPr>
          <w:rFonts w:eastAsia="DejaVu Sans" w:cs="Times New Roman"/>
          <w:color w:val="00000A"/>
          <w:sz w:val="28"/>
          <w:szCs w:val="28"/>
        </w:rPr>
        <w:t>03.03.2023</w:t>
      </w:r>
      <w:r>
        <w:rPr>
          <w:rFonts w:cs="Times New Roman"/>
          <w:sz w:val="28"/>
          <w:szCs w:val="28"/>
        </w:rPr>
        <w:t xml:space="preserve">   № </w:t>
      </w:r>
      <w:r>
        <w:rPr>
          <w:rFonts w:cs="Times New Roman"/>
          <w:sz w:val="28"/>
          <w:szCs w:val="28"/>
        </w:rPr>
        <w:t>299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13"/>
        <w:spacing w:before="0" w:after="0"/>
        <w:jc w:val="center"/>
        <w:rPr>
          <w:rStyle w:val="FontStyle19"/>
          <w:b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муниципальных услуг администрации</w:t>
      </w:r>
      <w:r>
        <w:rPr>
          <w:rFonts w:cs="Times New Roman"/>
          <w:b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  <w:b/>
        </w:rPr>
        <w:t xml:space="preserve">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</w:t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5840"/>
        <w:gridCol w:w="3106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 xml:space="preserve">Наименование муниципальной услуги 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 xml:space="preserve">Ответственные за предоставление муниципальной услуги 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отраслевыми  (функциональными)    органами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Постановка граждан, имеющих трех и более детей, на учет в качестве лиц, имеющих право на предоставление им земельных участков в собственность бесплатно 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Градостроительство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 xml:space="preserve">Выдача разрешения на ввод объекта в эксплуатацию    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жилого помещения муниципального жилого фонда по договору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color w:val="auto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 xml:space="preserve">услугах, в предоставлении которых участвуют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b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 xml:space="preserve">Установление опеки или попечительства по договору об осуществлении опеки или попечительства в отношении несовершеннолетних 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Назначение выплаты денежных средств на содержание подопечного ре</w:t>
              <w:softHyphen/>
              <w:t>бенка, достигшего возраста 18 лет, но продолжающего обучение по очной фор</w:t>
              <w:softHyphen/>
              <w:t>ме в общеобразовательной организации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Увеличение на шестьдесят процентов размера вознаграждения прием</w:t>
              <w:softHyphen/>
              <w:t>ным родителям, воспитывающим детей-сирот и детей, оставшихся| без попече</w:t>
              <w:softHyphen/>
              <w:t>ния родителей, являющихся инвалидами, ВИЧ-инфицированными или имею</w:t>
              <w:softHyphen/>
              <w:t>щих ограниченные возможности здоровья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в санаторно-курортную организацию и обратно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jc w:val="both"/>
        <w:rPr/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709" w:top="766" w:footer="363" w:bottom="567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6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qFormat/>
    <w:rsid w:val="00397f4e"/>
    <w:pPr>
      <w:keepNext w:val="true"/>
      <w:widowControl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uiPriority w:val="99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FontStyle83" w:customStyle="1">
    <w:name w:val="Font Style83"/>
    <w:basedOn w:val="DefaultParagraphFont"/>
    <w:uiPriority w:val="99"/>
    <w:qFormat/>
    <w:rsid w:val="00a74a2a"/>
    <w:rPr>
      <w:rFonts w:ascii="Times New Roman" w:hAnsi="Times New Roman" w:cs="Times New Roman"/>
      <w:sz w:val="26"/>
      <w:szCs w:val="26"/>
    </w:rPr>
  </w:style>
  <w:style w:type="paragraph" w:styleId="Style17" w:customStyle="1">
    <w:name w:val="Заголовок"/>
    <w:next w:val="Style18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8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2" w:customStyle="1">
    <w:name w:val="Название1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8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3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29" w:customStyle="1">
    <w:name w:val="Содержимое врезки"/>
    <w:basedOn w:val="11"/>
    <w:qFormat/>
    <w:pPr/>
    <w:rPr/>
  </w:style>
  <w:style w:type="paragraph" w:styleId="Style30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1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7A46-21D3-4462-981B-FC45F5DE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LibreOffice/7.2.2.2$Windows_X86_64 LibreOffice_project/02b2acce88a210515b4a5bb2e46cbfb63fe97d56</Application>
  <AppVersion>15.0000</AppVersion>
  <DocSecurity>0</DocSecurity>
  <Pages>8</Pages>
  <Words>2242</Words>
  <Characters>16827</Characters>
  <CharactersWithSpaces>19772</CharactersWithSpaces>
  <Paragraphs>281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2023-01-25T11:40:00Z</dcterms:created>
  <dc:creator>Ушакова Елена Ивановна</dc:creator>
  <dc:description/>
  <dc:language>ru-RU</dc:language>
  <cp:lastModifiedBy/>
  <cp:lastPrinted>2023-03-09T11:32:34Z</cp:lastPrinted>
  <dcterms:modified xsi:type="dcterms:W3CDTF">2023-03-09T11:32:39Z</dcterms:modified>
  <cp:revision>12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