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08.09.2022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 №</w:t>
      </w:r>
      <w:r>
        <w:rPr>
          <w:b/>
          <w:sz w:val="24"/>
          <w:szCs w:val="24"/>
        </w:rPr>
        <w:t>1335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sz w:val="28"/>
          <w:szCs w:val="28"/>
        </w:rPr>
        <w:t xml:space="preserve">реестра муниципальных услуг </w:t>
      </w:r>
    </w:p>
    <w:p>
      <w:pPr>
        <w:pStyle w:val="11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 Утвердить </w:t>
      </w:r>
      <w:r>
        <w:rPr>
          <w:rFonts w:cs="Times New Roman"/>
          <w:bCs/>
          <w:color w:val="auto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14 июня 2022 года № 849 «</w:t>
      </w:r>
      <w:r>
        <w:rPr>
          <w:rFonts w:cs="Times New Roman"/>
          <w:bCs/>
          <w:color w:val="auto"/>
          <w:sz w:val="28"/>
          <w:szCs w:val="28"/>
        </w:rPr>
        <w:t>Об утверждении реестра муниципальных услуг и функций</w:t>
      </w:r>
      <w:r>
        <w:rPr>
          <w:rFonts w:cs="Times New Roman"/>
          <w:color w:val="auto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6</w:t>
      </w:r>
      <w:bookmarkStart w:id="0" w:name="_GoBack"/>
      <w:bookmarkEnd w:id="0"/>
      <w:r>
        <w:rPr>
          <w:rFonts w:cs="Times New Roman"/>
          <w:color w:val="auto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sectPr>
          <w:footerReference w:type="default" r:id="rId3"/>
          <w:type w:val="nextPage"/>
          <w:pgSz w:w="11906" w:h="16838"/>
          <w:pgMar w:left="1701" w:right="567" w:gutter="0" w:header="0" w:top="435" w:footer="218" w:bottom="1137"/>
          <w:pgNumType w:fmt="decimal"/>
          <w:formProt w:val="false"/>
          <w:textDirection w:val="lrTb"/>
          <w:docGrid w:type="default" w:linePitch="360" w:charSpace="18022"/>
        </w:sect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1"/>
        <w:spacing w:lineRule="auto" w:line="240"/>
        <w:jc w:val="center"/>
        <w:rPr/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от </w:t>
      </w:r>
      <w:r>
        <w:rPr>
          <w:rFonts w:cs="Times New Roman"/>
          <w:color w:val="auto"/>
          <w:sz w:val="28"/>
          <w:szCs w:val="28"/>
        </w:rPr>
        <w:t>08.09.2022</w:t>
      </w:r>
      <w:r>
        <w:rPr>
          <w:rFonts w:cs="Times New Roman"/>
          <w:color w:val="auto"/>
          <w:sz w:val="28"/>
          <w:szCs w:val="28"/>
        </w:rPr>
        <w:t xml:space="preserve">  № </w:t>
      </w:r>
      <w:r>
        <w:rPr>
          <w:rFonts w:cs="Times New Roman"/>
          <w:color w:val="auto"/>
          <w:sz w:val="28"/>
          <w:szCs w:val="28"/>
        </w:rPr>
        <w:t>1335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13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39"/>
        <w:gridCol w:w="3107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Предоставление информации об объекта учета, содержащихся в Реестре муниципального имущества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градостроительного плана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публичного сервитута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color w:val="000000" w:themeColor="text1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sz w:val="28"/>
                <w:szCs w:val="28"/>
              </w:rPr>
              <w:t xml:space="preserve">Сведения об </w:t>
            </w:r>
            <w:r>
              <w:rPr>
                <w:rFonts w:cs="Times New Roman"/>
                <w:sz w:val="28"/>
                <w:szCs w:val="28"/>
              </w:rPr>
              <w:t>услугах, оказываемых муниципальными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учреждениями и другими организациями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, которые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  <w:color w:val="auto"/>
                <w:sz w:val="28"/>
                <w:szCs w:val="28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eastAsia="DejaVu Sans"/>
                <w:b w:val="false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Администрации городского и сельских поселений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материалов, содержащихся в проектной документации: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10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>
          <w:trHeight w:val="55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4"/>
      <w:footerReference w:type="default" r:id="rId5"/>
      <w:type w:val="nextPage"/>
      <w:pgSz w:w="11906" w:h="16838"/>
      <w:pgMar w:left="1701" w:right="567" w:gutter="0" w:header="709" w:top="994" w:footer="363" w:bottom="56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1"/>
    <w:qFormat/>
    <w:pPr/>
    <w:rPr/>
  </w:style>
  <w:style w:type="paragraph" w:styleId="Style32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3069-90C2-4FBA-B060-E86D688C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Application>LibreOffice/7.2.2.2$Windows_X86_64 LibreOffice_project/02b2acce88a210515b4a5bb2e46cbfb63fe97d56</Application>
  <AppVersion>15.0000</AppVersion>
  <DocSecurity>0</DocSecurity>
  <Pages>15</Pages>
  <Words>3920</Words>
  <Characters>31967</Characters>
  <CharactersWithSpaces>36271</CharactersWithSpaces>
  <Paragraphs>483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2022-09-13T11:05:03Z</cp:lastPrinted>
  <dcterms:modified xsi:type="dcterms:W3CDTF">2022-09-13T11:05:29Z</dcterms:modified>
  <cp:revision>197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