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9"/>
          <w:tab w:val="left" w:pos="0" w:leader="none"/>
        </w:tabs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lang w:bidi="zxx"/>
        </w:rPr>
      </w:pPr>
      <w:r>
        <w:rPr>
          <w:b/>
          <w:bCs/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lang w:bidi="zxx"/>
        </w:rPr>
      </w:pPr>
      <w:r>
        <w:rPr>
          <w:b/>
          <w:bCs/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36"/>
          <w:lang w:bidi="zxx"/>
        </w:rPr>
      </w:pPr>
      <w:r>
        <w:rPr>
          <w:b/>
          <w:bCs/>
          <w:i w:val="false"/>
          <w:iCs w:val="false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</w:t>
      </w:r>
      <w:r>
        <w:rPr>
          <w:b/>
          <w:sz w:val="24"/>
        </w:rPr>
        <w:t xml:space="preserve"> </w:t>
      </w:r>
      <w:r>
        <w:rPr>
          <w:rFonts w:eastAsia="DejaVu Sans" w:cs="Lohit Hindi"/>
          <w:b/>
          <w:color w:val="00000A"/>
          <w:sz w:val="24"/>
        </w:rPr>
        <w:t>23.01.2023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rFonts w:eastAsia="DejaVu Sans" w:cs="Lohit Hindi"/>
          <w:b/>
          <w:color w:val="00000A"/>
          <w:sz w:val="24"/>
        </w:rPr>
        <w:t>83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right="40" w:hanging="0"/>
        <w:jc w:val="center"/>
        <w:rPr>
          <w:rFonts w:cs="Nimbus Roman No9 L;Times New Ro"/>
          <w:b/>
          <w:b/>
          <w:bCs/>
          <w:sz w:val="28"/>
          <w:szCs w:val="28"/>
        </w:rPr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End w:id="0"/>
      <w:bookmarkEnd w:id="1"/>
      <w:bookmarkEnd w:id="2"/>
      <w:bookmarkEnd w:id="3"/>
      <w:r>
        <w:rPr>
          <w:rFonts w:cs="Nimbus Roman No9 L;Times New Ro"/>
          <w:b/>
          <w:bCs/>
          <w:sz w:val="28"/>
          <w:szCs w:val="28"/>
        </w:rPr>
        <w:t xml:space="preserve">Об утверждении отчета о реализации ведомственной </w:t>
      </w:r>
    </w:p>
    <w:p>
      <w:pPr>
        <w:pStyle w:val="Normal"/>
        <w:ind w:right="40" w:hanging="0"/>
        <w:jc w:val="center"/>
        <w:rPr>
          <w:rFonts w:cs="Nimbus Roman No9 L;Times New Ro"/>
          <w:b/>
          <w:b/>
          <w:bCs/>
          <w:sz w:val="28"/>
          <w:szCs w:val="28"/>
        </w:rPr>
      </w:pPr>
      <w:r>
        <w:rPr>
          <w:rFonts w:cs="Nimbus Roman No9 L;Times New Ro"/>
          <w:b/>
          <w:bCs/>
          <w:sz w:val="28"/>
          <w:szCs w:val="28"/>
        </w:rPr>
        <w:t xml:space="preserve">целевой программы «Меры социальной поддержки работников </w:t>
      </w:r>
    </w:p>
    <w:p>
      <w:pPr>
        <w:pStyle w:val="Normal"/>
        <w:ind w:right="40" w:hanging="0"/>
        <w:jc w:val="center"/>
        <w:rPr/>
      </w:pPr>
      <w:r>
        <w:rPr>
          <w:rFonts w:cs="Nimbus Roman No9 L;Times New Ro"/>
          <w:b/>
          <w:bCs/>
          <w:sz w:val="28"/>
          <w:szCs w:val="28"/>
        </w:rPr>
        <w:t>физической культуры и спорта в муниципальном образовании Кореновский район на 2021-2023 годы» за 2022 год</w:t>
      </w:r>
    </w:p>
    <w:p>
      <w:pPr>
        <w:pStyle w:val="Normal"/>
        <w:ind w:right="40" w:hanging="0"/>
        <w:jc w:val="center"/>
        <w:rPr/>
      </w:pPr>
      <w:r>
        <w:rPr/>
      </w:r>
    </w:p>
    <w:p>
      <w:pPr>
        <w:pStyle w:val="Normal"/>
        <w:ind w:right="40" w:hanging="0"/>
        <w:jc w:val="center"/>
        <w:rPr/>
      </w:pPr>
      <w:r>
        <w:rPr/>
      </w:r>
    </w:p>
    <w:p>
      <w:pPr>
        <w:pStyle w:val="Normal"/>
        <w:ind w:right="4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>В соответствии с постановлением администрации муниципального образования Кореновский район Краснодарского края от 18 июня 2012 года        № 1149 «Об утверждении Положения о порядке разработки, утверждения         и реализации ведомственных целевых программ в муниципальном образовании Кореновский район» (</w:t>
      </w:r>
      <w:r>
        <w:rPr>
          <w:rFonts w:cs="Times New Roman"/>
          <w:sz w:val="28"/>
          <w:szCs w:val="28"/>
        </w:rPr>
        <w:t>в редакции постановления администрации муниципального образования Кореновский район от 20 октября 2014 года         № 1641, от 01 декабря 2015 года № 1606, от 28 февраля 2020 года № 196)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администрация муниципального образования Кореновский район                       п о с т а н о в л я е т: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 Утвердить отчет о реализации ведомственной целевой программы   «Меры социальной поддержки работников физической культуры и спорта в муниципальном образовании Кореновский район на 2021-2023 годы» за 2022 год.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2. </w:t>
      </w:r>
      <w:r>
        <w:rPr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 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3. Контроль за выполнением настоящего постановления возложить          на заместителя главы муниципального образования Кореновский район        Е.А. Еремина.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4. Настоящее постановление вступает в силу со дня его подписания.</w:t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sectPr>
          <w:type w:val="nextPage"/>
          <w:pgSz w:w="11906" w:h="16838"/>
          <w:pgMar w:left="1701" w:right="567" w:gutter="0" w:header="0" w:top="1134" w:footer="0" w:bottom="567"/>
          <w:pgNumType w:start="1" w:fmt="decimal"/>
          <w:formProt w:val="false"/>
          <w:textDirection w:val="lrTb"/>
          <w:docGrid w:type="default" w:linePitch="326" w:charSpace="4294960946"/>
        </w:sectPr>
        <w:pStyle w:val="Normal"/>
        <w:ind w:right="40" w:hanging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/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УТВЕРЖДЕН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постановлением администрации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муниципального образования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Кореновский район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от </w:t>
      </w:r>
      <w:r>
        <w:rPr>
          <w:rFonts w:eastAsia="Times New Roman" w:cs="Times New Roman"/>
          <w:color w:val="00000A"/>
          <w:sz w:val="28"/>
          <w:szCs w:val="34"/>
          <w:lang w:eastAsia="ru-RU" w:bidi="ar-SA"/>
        </w:rPr>
        <w:t>23.01.2023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 № </w:t>
      </w:r>
      <w:r>
        <w:rPr>
          <w:rFonts w:eastAsia="Times New Roman" w:cs="Times New Roman"/>
          <w:color w:val="00000A"/>
          <w:sz w:val="28"/>
          <w:szCs w:val="34"/>
          <w:lang w:eastAsia="ru-RU" w:bidi="ar-SA"/>
        </w:rPr>
        <w:t>83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мероприятий </w:t>
      </w:r>
      <w:r>
        <w:rPr>
          <w:color w:val="000000"/>
          <w:sz w:val="28"/>
          <w:szCs w:val="28"/>
        </w:rPr>
        <w:t xml:space="preserve">ведомственной </w:t>
      </w:r>
      <w:r>
        <w:rPr>
          <w:sz w:val="28"/>
          <w:szCs w:val="28"/>
        </w:rPr>
        <w:t>целевой программы</w:t>
      </w:r>
    </w:p>
    <w:p>
      <w:pPr>
        <w:pStyle w:val="Normal"/>
        <w:ind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 xml:space="preserve">«Меры социальной поддержки работников физической культуры и спорта в муниципальном образовании Кореновский район на 2021-2023 годы» </w:t>
      </w:r>
    </w:p>
    <w:p>
      <w:pPr>
        <w:pStyle w:val="Normal"/>
        <w:ind w:right="4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2022 год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/>
      </w:r>
    </w:p>
    <w:p>
      <w:pPr>
        <w:pStyle w:val="Normal"/>
        <w:ind w:right="40" w:hanging="0"/>
        <w:jc w:val="both"/>
        <w:rPr>
          <w:rFonts w:cs="Nimbus Roman No9 L;Times New Ro"/>
          <w:color w:val="auto"/>
          <w:sz w:val="28"/>
          <w:szCs w:val="28"/>
        </w:rPr>
      </w:pPr>
      <w:r>
        <w:rPr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 xml:space="preserve">едомственная целевая программа </w:t>
      </w:r>
      <w:r>
        <w:rPr>
          <w:rFonts w:cs="Nimbus Roman No9 L;Times New Ro"/>
          <w:bCs/>
          <w:sz w:val="28"/>
          <w:szCs w:val="28"/>
        </w:rPr>
        <w:t>«Меры социальной поддержки работников физической культуры и спорта в муниципальном образовании Кореновский район на 2021-2023 годы» за 2022 год</w:t>
      </w:r>
      <w:r>
        <w:rPr>
          <w:sz w:val="28"/>
          <w:szCs w:val="28"/>
        </w:rPr>
        <w:t xml:space="preserve"> (далее–Программа) была утверждена постановлением администрации муниципального образования Кореновский район 23 сентября </w:t>
      </w:r>
      <w:r>
        <w:rPr>
          <w:rFonts w:cs="Nimbus Roman No9 L;Times New Ro"/>
          <w:sz w:val="28"/>
          <w:szCs w:val="28"/>
        </w:rPr>
        <w:t>2020 года № 1026</w:t>
      </w:r>
      <w:r>
        <w:rPr>
          <w:rFonts w:cs="Nimbus Roman No9 L;Times New Ro"/>
          <w:color w:val="auto"/>
          <w:sz w:val="28"/>
          <w:szCs w:val="28"/>
        </w:rPr>
        <w:t>.</w:t>
      </w:r>
    </w:p>
    <w:p>
      <w:pPr>
        <w:pStyle w:val="Normal"/>
        <w:spacing w:lineRule="atLeast" w:line="200"/>
        <w:ind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В 2022 году в рамках реализации Программы предусматривалось выполнение мероприятий по 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озданию благоприятных условий для привлечения и закрепления высококвалифицированных кадров в сфере физической культуры и спорта, обеспечения социальной поддержки                    и защищенности работников физической культуры и спорта для работы в муниципальном образовании Кореновский район.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Программы в 2022 году осуществлялось за счет средств бюджета муниципального образования Кореновский район в сумме  </w:t>
      </w:r>
      <w:r>
        <w:rPr>
          <w:rFonts w:cs="Times New Roman"/>
          <w:sz w:val="28"/>
          <w:szCs w:val="28"/>
        </w:rPr>
        <w:t xml:space="preserve">672,3 </w:t>
      </w:r>
      <w:r>
        <w:rPr>
          <w:sz w:val="28"/>
          <w:szCs w:val="28"/>
        </w:rPr>
        <w:t>тыс. рублей (приложение №1).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2).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осуществлялась на основе следующих индикаторов (приложение № 3):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Доля граждан, систематически занимающихся физической культурой и спортом, в общей численности населения в возрасте  3-79 лет, %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Привлечение  работников сферы физической культуры и спорта в муниципальное образование Кореновский район, чел.</w:t>
      </w:r>
    </w:p>
    <w:p>
      <w:pPr>
        <w:pStyle w:val="Normal"/>
        <w:tabs>
          <w:tab w:val="clear" w:pos="709"/>
          <w:tab w:val="left" w:pos="993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4" w:footer="0" w:bottom="567"/>
          <w:pgNumType w:fmt="decimal"/>
          <w:formProt w:val="false"/>
          <w:textDirection w:val="lrTb"/>
          <w:docGrid w:type="default" w:linePitch="326" w:charSpace="4294960946"/>
        </w:sect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1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>реализации мероприятий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«Меры социальной поддержки работников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физической культуры и спорта в муниципальном образовании Кореновский район на 2021-2023 годы»</w:t>
      </w:r>
    </w:p>
    <w:p>
      <w:pPr>
        <w:pStyle w:val="Normal"/>
        <w:ind w:left="4253"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2022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объемов финансирования 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 целевой</w:t>
      </w:r>
    </w:p>
    <w:p>
      <w:pPr>
        <w:pStyle w:val="Normal"/>
        <w:ind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программы </w:t>
      </w:r>
      <w:r>
        <w:rPr>
          <w:rFonts w:cs="Nimbus Roman No9 L;Times New Ro"/>
          <w:bCs/>
          <w:sz w:val="28"/>
          <w:szCs w:val="28"/>
        </w:rPr>
        <w:t>«Меры социальной поддержки работников физической культуры</w:t>
      </w:r>
    </w:p>
    <w:p>
      <w:pPr>
        <w:pStyle w:val="Normal"/>
        <w:ind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и спорта в муниципальном образовании Кореновский район на 2021-2023 годы» за 2022 год</w:t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tbl>
      <w:tblPr>
        <w:tblW w:w="9746" w:type="dxa"/>
        <w:jc w:val="left"/>
        <w:tblInd w:w="102" w:type="dxa"/>
        <w:tblLayout w:type="fixed"/>
        <w:tblCellMar>
          <w:top w:w="0" w:type="dxa"/>
          <w:left w:w="102" w:type="dxa"/>
          <w:bottom w:w="0" w:type="dxa"/>
          <w:right w:w="108" w:type="dxa"/>
        </w:tblCellMar>
        <w:tblLook w:val="04a0"/>
      </w:tblPr>
      <w:tblGrid>
        <w:gridCol w:w="567"/>
        <w:gridCol w:w="2268"/>
        <w:gridCol w:w="1133"/>
        <w:gridCol w:w="142"/>
        <w:gridCol w:w="1135"/>
        <w:gridCol w:w="992"/>
        <w:gridCol w:w="708"/>
        <w:gridCol w:w="851"/>
        <w:gridCol w:w="142"/>
        <w:gridCol w:w="1806"/>
      </w:tblGrid>
      <w:tr>
        <w:trPr/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задачи, мероприятия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Источникфинансирования</w:t>
            </w:r>
          </w:p>
        </w:tc>
        <w:tc>
          <w:tcPr>
            <w:tcW w:w="12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Плановоезначение Объем финансирования,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left="10" w:right="-3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</w:p>
          <w:p>
            <w:pPr>
              <w:pStyle w:val="ConsPlusNormal"/>
              <w:widowControl w:val="false"/>
              <w:ind w:left="10" w:right="-30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</w:t>
            </w:r>
          </w:p>
          <w:p>
            <w:pPr>
              <w:pStyle w:val="ConsPlusNormal"/>
              <w:widowControl w:val="false"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руб.-/+</w:t>
            </w:r>
          </w:p>
        </w:tc>
        <w:tc>
          <w:tcPr>
            <w:tcW w:w="9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>
        <w:trPr/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rPr/>
        <w:tc>
          <w:tcPr>
            <w:tcW w:w="9744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Создание благоприятных условий в целях привлечения и закрепления высококвалифицированных кадров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  <w:szCs w:val="20"/>
              </w:rPr>
              <w:t>Компенсация за наем жилья работникам сферы физической культуры и спорта (предоставление субсидий муниципальному бюджетному учреждению спортивной школе «Аллигатор» муниципального образования Кореновский район)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Районный бюджет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28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48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sectPr>
          <w:headerReference w:type="default" r:id="rId4"/>
          <w:type w:val="nextPage"/>
          <w:pgSz w:w="11906" w:h="16838"/>
          <w:pgMar w:left="1701" w:right="567" w:gutter="0" w:header="567" w:top="1134" w:footer="0" w:bottom="567"/>
          <w:pgNumType w:fmt="decimal"/>
          <w:formProt w:val="false"/>
          <w:textDirection w:val="lrTb"/>
          <w:docGrid w:type="default" w:linePitch="326" w:charSpace="4294960946"/>
        </w:sect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2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>реализации мероприятий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«Меры социальной поддержки работников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физической культуры и спорта в муниципальном образовании Кореновский район на 2021-2023 годы»</w:t>
      </w:r>
    </w:p>
    <w:p>
      <w:pPr>
        <w:pStyle w:val="Normal"/>
        <w:ind w:left="4253"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2022 год</w:t>
      </w:r>
    </w:p>
    <w:p>
      <w:pPr>
        <w:pStyle w:val="Normal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ведомственной целевой программы </w:t>
      </w:r>
    </w:p>
    <w:p>
      <w:pPr>
        <w:pStyle w:val="Normal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 xml:space="preserve">«Меры социальной поддержки работников физической культуры и спорта в муниципальном образовании Кореновский район на 2021-2023 годы»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2022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tbl>
      <w:tblPr>
        <w:tblW w:w="9633" w:type="dxa"/>
        <w:jc w:val="righ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9"/>
        <w:gridCol w:w="2911"/>
        <w:gridCol w:w="2146"/>
        <w:gridCol w:w="2023"/>
        <w:gridCol w:w="2024"/>
      </w:tblGrid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Показатели 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результативности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Фактические объемы финансирования (суммарно по всем источникам), 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тыс. руб.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Эффективность реализации ВЦП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(5=4/3)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2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3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  <w:szCs w:val="20"/>
              </w:rPr>
              <w:t>Компенсация за наем жилья работникам сферы физической культуры и спорта (предоставление субсидий муниципальному бюджетному учреждению спортивной школе «Аллигатор» муниципального образования Кореновский район)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spacing w:lineRule="atLeast" w:line="200"/>
              <w:jc w:val="both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Итого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672,3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  <w:bookmarkStart w:id="4" w:name="_GoBack"/>
            <w:bookmarkEnd w:id="4"/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sectPr>
          <w:headerReference w:type="default" r:id="rId5"/>
          <w:type w:val="nextPage"/>
          <w:pgSz w:w="11906" w:h="16838"/>
          <w:pgMar w:left="1701" w:right="567" w:gutter="0" w:header="567" w:top="1134" w:footer="0" w:bottom="567"/>
          <w:pgNumType w:fmt="decimal"/>
          <w:formProt w:val="false"/>
          <w:textDirection w:val="lrTb"/>
          <w:docGrid w:type="default" w:linePitch="326" w:charSpace="4294960946"/>
        </w:sect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3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>реализации мероприятий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«Меры социальной поддержки работников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физической культуры и спорта в муниципальном образовании Кореновский район на 2021-2023 годы»</w:t>
      </w:r>
    </w:p>
    <w:p>
      <w:pPr>
        <w:pStyle w:val="Normal"/>
        <w:ind w:left="4253"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2022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widowControl/>
        <w:overflowPunct w:val="true"/>
        <w:jc w:val="center"/>
        <w:rPr>
          <w:rFonts w:ascii="Arial" w:hAnsi="Arial" w:eastAsia="Arial" w:cs="Arial"/>
          <w:sz w:val="20"/>
          <w:szCs w:val="20"/>
          <w:lang w:eastAsia="ru-RU" w:bidi="ru-RU"/>
        </w:rPr>
      </w:pPr>
      <w:r>
        <w:rPr>
          <w:rFonts w:eastAsia="Arial" w:cs="Times New Roman"/>
          <w:sz w:val="28"/>
          <w:szCs w:val="28"/>
          <w:lang w:eastAsia="ru-RU" w:bidi="ru-RU"/>
        </w:rPr>
        <w:t>АНАЛИЗ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Arial" w:cs="Times New Roman"/>
          <w:sz w:val="28"/>
          <w:szCs w:val="28"/>
          <w:lang w:eastAsia="ru-RU" w:bidi="ru-RU"/>
        </w:rPr>
        <w:t xml:space="preserve">показателей результативности </w:t>
      </w: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 xml:space="preserve">«Меры социальной поддержки работников физической культуры и спорта в муниципальном образовании Кореновский район на 2021-2023 годы» </w:t>
      </w:r>
    </w:p>
    <w:p>
      <w:pPr>
        <w:pStyle w:val="Normal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за 2022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tbl>
      <w:tblPr>
        <w:tblW w:w="9639" w:type="dxa"/>
        <w:jc w:val="left"/>
        <w:tblInd w:w="9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30"/>
        <w:gridCol w:w="2818"/>
        <w:gridCol w:w="674"/>
        <w:gridCol w:w="1283"/>
        <w:gridCol w:w="1529"/>
        <w:gridCol w:w="1108"/>
        <w:gridCol w:w="1696"/>
      </w:tblGrid>
      <w:tr>
        <w:trPr>
          <w:trHeight w:val="390" w:hRule="atLeast"/>
          <w:cantSplit w:val="true"/>
        </w:trPr>
        <w:tc>
          <w:tcPr>
            <w:tcW w:w="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Times New Roman" w:cs="Times New Roman"/>
                <w:lang w:eastAsia="ru-RU" w:bidi="ru-RU"/>
              </w:rPr>
              <w:t>№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п/п</w:t>
            </w:r>
          </w:p>
        </w:tc>
        <w:tc>
          <w:tcPr>
            <w:tcW w:w="28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Наименование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показателя</w:t>
            </w:r>
          </w:p>
        </w:tc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Ед.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изм.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Плановое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1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Фактическое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2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3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281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674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28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529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-/+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%</w:t>
            </w:r>
          </w:p>
        </w:tc>
      </w:tr>
      <w:tr>
        <w:trPr>
          <w:trHeight w:val="309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1.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 3-79 лет, %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57.3%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59,6%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+1,7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104,1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2.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чел.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5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100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567" w:gutter="0" w:header="567" w:top="1134" w:footer="0" w:bottom="567"/>
      <w:pgNumType w:fmt="decimal"/>
      <w:formProt w:val="false"/>
      <w:titlePg/>
      <w:textDirection w:val="lrTb"/>
      <w:docGrid w:type="default" w:linePitch="326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49271999"/>
    </w:sdtPr>
    <w:sdtContent>
      <w:p>
        <w:pPr>
          <w:pStyle w:val="Style25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bd5"/>
    <w:pPr>
      <w:widowControl w:val="false"/>
      <w:tabs>
        <w:tab w:val="left" w:pos="709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DejaVu Sans" w:cs="Lohit Hindi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rsid w:val="009b2bd5"/>
    <w:pPr>
      <w:keepNext w:val="true"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Normal"/>
    <w:qFormat/>
    <w:rsid w:val="009b2bd5"/>
    <w:pPr>
      <w:keepNext w:val="true"/>
      <w:jc w:val="center"/>
      <w:outlineLvl w:val="1"/>
    </w:pPr>
    <w:rPr>
      <w:b/>
      <w:bCs/>
      <w:i/>
      <w:iCs/>
      <w:szCs w:val="28"/>
    </w:rPr>
  </w:style>
  <w:style w:type="paragraph" w:styleId="9">
    <w:name w:val="Heading 9"/>
    <w:basedOn w:val="Normal"/>
    <w:qFormat/>
    <w:rsid w:val="009b2bd5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Маркеры списка"/>
    <w:qFormat/>
    <w:rsid w:val="009b2bd5"/>
    <w:rPr>
      <w:rFonts w:ascii="OpenSymbol" w:hAnsi="OpenSymbol" w:eastAsia="OpenSymbol" w:cs="OpenSymbol"/>
    </w:rPr>
  </w:style>
  <w:style w:type="character" w:styleId="3" w:customStyle="1">
    <w:name w:val="Основной текст (3)_"/>
    <w:basedOn w:val="DefaultParagraphFont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 w:customStyle="1">
    <w:name w:val="Основной текст_"/>
    <w:basedOn w:val="DefaultParagraphFont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Основной текст1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 w:customStyle="1">
    <w:name w:val="Основной текст + Интервал 3 pt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 w:customStyle="1">
    <w:name w:val="Цветовое выделение для Текст"/>
    <w:qFormat/>
    <w:rsid w:val="009b2bd5"/>
    <w:rPr>
      <w:sz w:val="26"/>
    </w:rPr>
  </w:style>
  <w:style w:type="character" w:styleId="Style14" w:customStyle="1">
    <w:name w:val="Символ нумерации"/>
    <w:qFormat/>
    <w:rsid w:val="009b2bd5"/>
    <w:rPr>
      <w:sz w:val="28"/>
      <w:szCs w:val="28"/>
    </w:rPr>
  </w:style>
  <w:style w:type="character" w:styleId="Style15" w:customStyle="1">
    <w:name w:val="Текст выноски Знак"/>
    <w:basedOn w:val="DefaultParagraphFont"/>
    <w:link w:val="af1"/>
    <w:uiPriority w:val="99"/>
    <w:semiHidden/>
    <w:qFormat/>
    <w:rsid w:val="0021143b"/>
    <w:rPr>
      <w:rFonts w:ascii="Segoe UI" w:hAnsi="Segoe UI" w:eastAsia="DejaVu Sans"/>
      <w:color w:val="00000A"/>
      <w:sz w:val="18"/>
      <w:szCs w:val="16"/>
    </w:rPr>
  </w:style>
  <w:style w:type="character" w:styleId="Style16" w:customStyle="1">
    <w:name w:val="Верхний колонтитул Знак"/>
    <w:basedOn w:val="DefaultParagraphFont"/>
    <w:link w:val="ad"/>
    <w:uiPriority w:val="99"/>
    <w:qFormat/>
    <w:rsid w:val="005c035c"/>
    <w:rPr>
      <w:rFonts w:ascii="Times New Roman" w:hAnsi="Times New Roman" w:eastAsia="DejaVu Sans" w:cs="Lohit Hindi"/>
      <w:color w:val="00000A"/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9b2bd5"/>
    <w:pPr>
      <w:spacing w:lineRule="auto" w:line="288" w:before="0" w:after="120"/>
    </w:pPr>
    <w:rPr/>
  </w:style>
  <w:style w:type="paragraph" w:styleId="Style19">
    <w:name w:val="List"/>
    <w:basedOn w:val="Style18"/>
    <w:rsid w:val="009b2bd5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>
    <w:name w:val="Title"/>
    <w:basedOn w:val="Normal"/>
    <w:next w:val="Style18"/>
    <w:qFormat/>
    <w:rsid w:val="009b2bd5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rsid w:val="009b2bd5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9b2bd5"/>
    <w:pPr>
      <w:suppressLineNumbers/>
    </w:pPr>
    <w:rPr/>
  </w:style>
  <w:style w:type="paragraph" w:styleId="21" w:customStyle="1">
    <w:name w:val="Заголовок №2"/>
    <w:basedOn w:val="Normal"/>
    <w:qFormat/>
    <w:rsid w:val="009b2bd5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23" w:customStyle="1">
    <w:name w:val="Содержимое таблицы"/>
    <w:basedOn w:val="Standard"/>
    <w:qFormat/>
    <w:rsid w:val="00ce3f4f"/>
    <w:pPr>
      <w:suppressLineNumbers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e"/>
    <w:uiPriority w:val="99"/>
    <w:rsid w:val="009b2bd5"/>
    <w:pPr>
      <w:suppressLineNumbers/>
      <w:tabs>
        <w:tab w:val="left" w:pos="709" w:leader="none"/>
        <w:tab w:val="center" w:pos="5386" w:leader="none"/>
        <w:tab w:val="right" w:pos="10772" w:leader="none"/>
      </w:tabs>
    </w:pPr>
    <w:rPr/>
  </w:style>
  <w:style w:type="paragraph" w:styleId="Style26">
    <w:name w:val="Footer"/>
    <w:basedOn w:val="Normal"/>
    <w:rsid w:val="009b2bd5"/>
    <w:pPr>
      <w:suppressLineNumbers/>
      <w:tabs>
        <w:tab w:val="left" w:pos="709" w:leader="none"/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basedOn w:val="Normal"/>
    <w:qFormat/>
    <w:rsid w:val="009b2bd5"/>
    <w:pPr/>
    <w:rPr>
      <w:rFonts w:ascii="Courier New" w:hAnsi="Courier New" w:eastAsia="Courier New" w:cs="Courier New"/>
      <w:sz w:val="20"/>
      <w:szCs w:val="20"/>
    </w:rPr>
  </w:style>
  <w:style w:type="paragraph" w:styleId="ConsPlusNormal" w:customStyle="1">
    <w:name w:val="ConsPlusNormal"/>
    <w:qFormat/>
    <w:rsid w:val="009b2bd5"/>
    <w:pPr>
      <w:widowControl w:val="false"/>
      <w:tabs>
        <w:tab w:val="left" w:pos="709" w:leader="none"/>
      </w:tabs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ru-RU" w:bidi="ru-RU" w:val="ru-RU"/>
    </w:rPr>
  </w:style>
  <w:style w:type="paragraph" w:styleId="Style27" w:customStyle="1">
    <w:name w:val="Заголовок таблицы"/>
    <w:basedOn w:val="Style23"/>
    <w:qFormat/>
    <w:rsid w:val="009b2bd5"/>
    <w:pPr>
      <w:jc w:val="center"/>
    </w:pPr>
    <w:rPr>
      <w:b/>
      <w:bCs/>
    </w:rPr>
  </w:style>
  <w:style w:type="paragraph" w:styleId="22" w:customStyle="1">
    <w:name w:val="Основной текст2"/>
    <w:basedOn w:val="Normal"/>
    <w:qFormat/>
    <w:rsid w:val="009b2bd5"/>
    <w:pPr>
      <w:shd w:val="clear" w:color="auto" w:fill="FFFFFF"/>
      <w:spacing w:lineRule="atLeast" w:line="100" w:before="0" w:after="720"/>
    </w:pPr>
    <w:rPr>
      <w:rFonts w:eastAsia="Times New Roman" w:cs="Times New Roman"/>
      <w:sz w:val="26"/>
      <w:szCs w:val="26"/>
    </w:rPr>
  </w:style>
  <w:style w:type="paragraph" w:styleId="311" w:customStyle="1">
    <w:name w:val="Основной текст (3)1"/>
    <w:basedOn w:val="Normal"/>
    <w:qFormat/>
    <w:rsid w:val="009b2bd5"/>
    <w:pPr>
      <w:shd w:val="clear" w:color="auto" w:fill="FFFFFF"/>
      <w:spacing w:lineRule="exact" w:line="322" w:before="720" w:after="0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Standard" w:customStyle="1">
    <w:name w:val="Standard"/>
    <w:qFormat/>
    <w:rsid w:val="00ce3f4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21143b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595e6e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6a6c38"/>
    <w:rPr>
      <w:lang w:eastAsia="ru-RU" w:bidi="ar-SA"/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1DDE-5390-4E63-AE16-FFD5FE48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LibreOffice/7.2.2.2$Windows_X86_64 LibreOffice_project/02b2acce88a210515b4a5bb2e46cbfb63fe97d56</Application>
  <AppVersion>15.0000</AppVersion>
  <Pages>5</Pages>
  <Words>840</Words>
  <Characters>5837</Characters>
  <CharactersWithSpaces>6975</CharactersWithSpaces>
  <Paragraphs>175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2019-06-11T12:30:00Z</dcterms:created>
  <dc:creator>Parhomenko</dc:creator>
  <dc:description/>
  <dc:language>ru</dc:language>
  <cp:lastModifiedBy/>
  <cp:lastPrinted>2023-01-26T13:24:00Z</cp:lastPrinted>
  <dcterms:modified xsi:type="dcterms:W3CDTF">2023-01-26T16:47:05Z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