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hd w:val="clear" w:fill="FFFFFF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hd w:val="clear" w:fill="FFFFFF"/>
        <w:jc w:val="both"/>
        <w:rPr/>
      </w:pPr>
      <w:r>
        <w:rPr/>
      </w:r>
    </w:p>
    <w:p>
      <w:pPr>
        <w:pStyle w:val="1"/>
        <w:shd w:val="clear" w:fill="FFFFFF"/>
        <w:jc w:val="both"/>
        <w:rPr>
          <w:rFonts w:eastAsia="Times New Roman" w:cs="Times New Roman"/>
          <w:b/>
          <w:bCs/>
          <w:color w:val="00000A"/>
          <w:sz w:val="28"/>
          <w:szCs w:val="20"/>
          <w:lang w:val="ru-RU" w:eastAsia="ru-RU" w:bidi="ru-RU"/>
        </w:rPr>
      </w:pPr>
      <w:r>
        <w:rPr/>
        <w:t xml:space="preserve">          </w:t>
      </w:r>
      <w:r>
        <w:rPr>
          <w:rFonts w:cs="Times New Roman"/>
          <w:sz w:val="24"/>
          <w:szCs w:val="20"/>
          <w:lang w:eastAsia="ru-RU" w:bidi="ru-RU"/>
        </w:rPr>
        <w:t xml:space="preserve">  </w:t>
      </w:r>
      <w:r>
        <w:rPr>
          <w:rFonts w:eastAsia="Times New Roman" w:cs="Times New Roman"/>
          <w:b/>
          <w:bCs/>
          <w:color w:val="00000A"/>
          <w:sz w:val="28"/>
          <w:szCs w:val="20"/>
          <w:lang w:val="ru-RU" w:eastAsia="ru-RU" w:bidi="ru-RU"/>
        </w:rPr>
        <w:t>АДМИНИСТРАЦИЯ  МУНИЦИПАЛЬНОГО  ОБРАЗОВАНИЯ</w:t>
      </w:r>
    </w:p>
    <w:p>
      <w:pPr>
        <w:pStyle w:val="Normal"/>
        <w:spacing w:lineRule="atLeast" w:line="100" w:before="0" w:after="0"/>
        <w:ind w:left="0" w:right="0" w:hanging="0"/>
        <w:jc w:val="center"/>
        <w:rPr>
          <w:rFonts w:eastAsia="Times New Roman" w:cs="Times New Roman"/>
          <w:b/>
          <w:bCs/>
          <w:color w:val="00000A"/>
          <w:sz w:val="28"/>
          <w:szCs w:val="20"/>
          <w:lang w:val="ru-RU" w:eastAsia="ru-RU" w:bidi="ru-RU"/>
        </w:rPr>
      </w:pPr>
      <w:r>
        <w:rPr>
          <w:rFonts w:eastAsia="Times New Roman" w:cs="Times New Roman"/>
          <w:b/>
          <w:bCs/>
          <w:color w:val="00000A"/>
          <w:sz w:val="28"/>
          <w:szCs w:val="20"/>
          <w:lang w:val="ru-RU" w:eastAsia="ru-RU" w:bidi="ru-RU"/>
        </w:rPr>
        <w:t>КОРЕНОВСКИЙ  РАЙОН</w:t>
      </w:r>
    </w:p>
    <w:p>
      <w:pPr>
        <w:pStyle w:val="Normal"/>
        <w:spacing w:lineRule="atLeast" w:line="100" w:before="0" w:after="0"/>
        <w:ind w:left="0" w:right="0" w:hanging="0"/>
        <w:jc w:val="center"/>
        <w:rPr/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center"/>
        <w:rPr>
          <w:rFonts w:eastAsia="Times New Roman" w:cs="Times New Roman"/>
          <w:b/>
          <w:bCs/>
          <w:color w:val="00000A"/>
          <w:sz w:val="36"/>
          <w:szCs w:val="20"/>
          <w:lang w:val="ru-RU" w:eastAsia="ru-RU" w:bidi="ru-RU"/>
        </w:rPr>
      </w:pPr>
      <w:r>
        <w:rPr>
          <w:rFonts w:eastAsia="Times New Roman" w:cs="Times New Roman"/>
          <w:b/>
          <w:bCs/>
          <w:color w:val="00000A"/>
          <w:sz w:val="36"/>
          <w:szCs w:val="20"/>
          <w:lang w:val="ru-RU" w:eastAsia="ru-RU" w:bidi="ru-RU"/>
        </w:rPr>
        <w:t xml:space="preserve">  </w:t>
      </w:r>
      <w:r>
        <w:rPr>
          <w:rFonts w:eastAsia="Times New Roman" w:cs="Times New Roman"/>
          <w:b/>
          <w:bCs/>
          <w:color w:val="00000A"/>
          <w:sz w:val="36"/>
          <w:szCs w:val="20"/>
          <w:lang w:val="ru-RU" w:eastAsia="ru-RU" w:bidi="ru-RU"/>
        </w:rPr>
        <w:t>ПОСТАНОВЛЕНИЕ</w:t>
      </w:r>
    </w:p>
    <w:p>
      <w:pPr>
        <w:pStyle w:val="Normal"/>
        <w:spacing w:lineRule="atLeast" w:line="100" w:before="0" w:after="0"/>
        <w:ind w:left="0" w:right="0" w:hanging="0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от 13.05.2019 г.                                                                                                                       № 600</w:t>
      </w:r>
    </w:p>
    <w:p>
      <w:pPr>
        <w:pStyle w:val="Normal"/>
        <w:spacing w:lineRule="atLeast" w:line="100" w:before="0" w:after="0"/>
        <w:rPr>
          <w:rFonts w:eastAsia="Times New Roman" w:cs="Times New Roman"/>
          <w:b/>
          <w:bCs/>
          <w:color w:val="00000A"/>
          <w:sz w:val="28"/>
          <w:szCs w:val="28"/>
          <w:lang w:val="ru-RU" w:eastAsia="ru-RU" w:bidi="ru-RU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ru-RU" w:eastAsia="ru-RU" w:bidi="ru-RU"/>
        </w:rPr>
        <w:t xml:space="preserve">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ru-RU"/>
        </w:rPr>
        <w:t xml:space="preserve">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ru-RU"/>
        </w:rPr>
        <w:t xml:space="preserve">г. Кореновск </w:t>
      </w:r>
      <w:r>
        <w:rPr>
          <w:rFonts w:eastAsia="Times New Roman" w:cs="Times New Roman"/>
          <w:b/>
          <w:bCs/>
          <w:color w:val="00000A"/>
          <w:sz w:val="28"/>
          <w:szCs w:val="28"/>
          <w:lang w:val="ru-RU" w:eastAsia="ru-RU" w:bidi="ru-RU"/>
        </w:rPr>
        <w:t xml:space="preserve">     </w:t>
      </w:r>
    </w:p>
    <w:p>
      <w:pPr>
        <w:pStyle w:val="1"/>
        <w:shd w:val="clear" w:fill="FFFFFF"/>
        <w:jc w:val="both"/>
        <w:rPr/>
      </w:pPr>
      <w:r>
        <w:rPr/>
        <w:t xml:space="preserve">                                                     </w:t>
      </w:r>
    </w:p>
    <w:p>
      <w:pPr>
        <w:pStyle w:val="Normal"/>
        <w:spacing w:lineRule="atLeast" w:line="100" w:before="0" w:after="0"/>
        <w:rPr>
          <w:rFonts w:eastAsia="Times New Roman" w:cs="Times New Roman"/>
          <w:b/>
          <w:bCs/>
          <w:color w:val="00000A"/>
          <w:sz w:val="28"/>
          <w:szCs w:val="28"/>
          <w:lang w:val="ru-RU" w:eastAsia="ru-RU" w:bidi="ru-RU"/>
        </w:rPr>
      </w:pPr>
      <w:r>
        <w:rPr>
          <w:rFonts w:cs="Times New Roman"/>
          <w:sz w:val="28"/>
          <w:szCs w:val="28"/>
          <w:lang w:eastAsia="ru-RU" w:bidi="ru-RU"/>
        </w:rPr>
        <w:t xml:space="preserve">             </w:t>
      </w:r>
      <w:r>
        <w:rPr>
          <w:rFonts w:cs="Times New Roman"/>
          <w:sz w:val="24"/>
          <w:szCs w:val="20"/>
          <w:lang w:eastAsia="ru-RU" w:bidi="ru-RU"/>
        </w:rPr>
        <w:t xml:space="preserve">  </w:t>
      </w:r>
      <w:r>
        <w:rPr>
          <w:rFonts w:eastAsia="Times New Roman" w:cs="Times New Roman"/>
          <w:b/>
          <w:bCs/>
          <w:color w:val="00000A"/>
          <w:sz w:val="28"/>
          <w:szCs w:val="28"/>
          <w:lang w:val="ru-RU" w:eastAsia="ru-RU" w:bidi="ru-RU"/>
        </w:rPr>
        <w:t xml:space="preserve">                                                          </w:t>
      </w:r>
    </w:p>
    <w:p>
      <w:pPr>
        <w:pStyle w:val="Normal"/>
        <w:shd w:val="clear" w:fill="FFFFFF"/>
        <w:spacing w:lineRule="atLeast" w:line="100" w:before="0" w:after="0"/>
        <w:jc w:val="both"/>
        <w:rPr/>
      </w:pPr>
      <w:r>
        <w:rPr/>
      </w:r>
    </w:p>
    <w:p>
      <w:pPr>
        <w:pStyle w:val="Normal"/>
        <w:ind w:left="709" w:right="0" w:hang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порядка взаимодействия </w:t>
      </w:r>
    </w:p>
    <w:p>
      <w:pPr>
        <w:pStyle w:val="Normal"/>
        <w:ind w:left="709" w:right="0" w:hang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органов местного самоуправления муниципального образования Кореновский район, подведомственных им</w:t>
      </w:r>
    </w:p>
    <w:p>
      <w:pPr>
        <w:pStyle w:val="Normal"/>
        <w:ind w:left="709" w:right="0" w:hang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муниципальных учреждений с организаторами </w:t>
      </w:r>
    </w:p>
    <w:p>
      <w:pPr>
        <w:pStyle w:val="Normal"/>
        <w:ind w:left="709" w:right="0" w:hang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добровольческой (волонтерской) деятельности, </w:t>
      </w:r>
    </w:p>
    <w:p>
      <w:pPr>
        <w:pStyle w:val="Normal"/>
        <w:ind w:left="709" w:right="0" w:hang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добровольческими (волонтерскими) организациями</w:t>
      </w:r>
    </w:p>
    <w:p>
      <w:pPr>
        <w:pStyle w:val="Normal"/>
        <w:ind w:left="709" w:right="0" w:hanging="0"/>
        <w:jc w:val="center"/>
        <w:rPr/>
      </w:pPr>
      <w:r>
        <w:rPr/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федеральным законом от 05 февраля 2018 года № 15-ФЗ «О внесении изменений в отельные законодательные акты Российской Федерации по вопросам добровольчества (волонтерства)», постановление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муниципального образования Кореновский район администрация муниципального образования Кореновский район   </w:t>
      </w:r>
      <w:r>
        <w:rPr>
          <w:spacing w:val="5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 w:val="false"/>
          <w:color w:val="000000"/>
          <w:sz w:val="28"/>
          <w:szCs w:val="28"/>
        </w:rPr>
        <w:t>п</w:t>
      </w:r>
      <w:r>
        <w:rPr>
          <w:b w:val="false"/>
          <w:bCs w:val="false"/>
          <w:color w:val="000000"/>
          <w:sz w:val="28"/>
          <w:szCs w:val="28"/>
        </w:rPr>
        <w:t>орядок</w:t>
      </w:r>
      <w:r>
        <w:rPr>
          <w:b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взаимодействия органов местного самоуправления муниципального образования Кореновский район, подведомственных им муниципальных учреждений с организаторами добровольческой (волонтерской)</w:t>
      </w:r>
      <w:r>
        <w:rPr>
          <w:color w:val="000000"/>
          <w:sz w:val="28"/>
          <w:szCs w:val="28"/>
        </w:rPr>
        <w:t xml:space="preserve"> деятельности, </w:t>
      </w:r>
      <w:r>
        <w:rPr>
          <w:b w:val="false"/>
          <w:color w:val="000000"/>
          <w:sz w:val="28"/>
          <w:szCs w:val="28"/>
        </w:rPr>
        <w:t>добровольческими (волонтерскими)</w:t>
      </w:r>
      <w:r>
        <w:rPr>
          <w:color w:val="000000"/>
          <w:sz w:val="28"/>
          <w:szCs w:val="28"/>
        </w:rPr>
        <w:t xml:space="preserve"> организациями (прилагается).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2.  Отделу    по    делам    СМИ    и    информационному    сопровождению администрации   муниципального  образования  Кореновский  район  (Диденко) опубликовать     официально     настоящее     постановление     и    разместить   винформационно-телекоммуникационной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widowControl w:val="false"/>
        <w:tabs>
          <w:tab w:val="center" w:pos="0" w:leader="none"/>
          <w:tab w:val="left" w:pos="7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sz w:val="28"/>
        </w:rPr>
        <w:t>Контроль за выполнением</w:t>
      </w:r>
      <w:r>
        <w:rPr>
          <w:sz w:val="28"/>
          <w:szCs w:val="28"/>
        </w:rPr>
        <w:t xml:space="preserve"> настоящего постановления возложить на </w:t>
      </w:r>
    </w:p>
    <w:p>
      <w:pPr>
        <w:pStyle w:val="Normal"/>
        <w:widowControl w:val="false"/>
        <w:tabs>
          <w:tab w:val="center" w:pos="0" w:leader="none"/>
          <w:tab w:val="left" w:pos="7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образования Кореновский район                        Т.Г. Ковалеву. </w:t>
      </w:r>
    </w:p>
    <w:p>
      <w:pPr>
        <w:pStyle w:val="Normal"/>
        <w:widowControl w:val="false"/>
        <w:tabs>
          <w:tab w:val="center" w:pos="0" w:leader="none"/>
          <w:tab w:val="left" w:pos="7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после его опубликования.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sectPr>
          <w:footerReference w:type="first" r:id="rId3"/>
          <w:type w:val="nextPage"/>
          <w:pgSz w:w="11906" w:h="16838"/>
          <w:pgMar w:left="1701" w:right="567" w:gutter="0" w:header="0" w:top="1365" w:footer="0" w:bottom="2061"/>
          <w:pgNumType w:fmt="decimal"/>
          <w:formProt w:val="false"/>
          <w:titlePg/>
          <w:textDirection w:val="lrTb"/>
          <w:docGrid w:type="default" w:linePitch="880" w:charSpace="1638"/>
        </w:sect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left="4956" w:right="0" w:hanging="0"/>
        <w:jc w:val="center"/>
        <w:rPr/>
      </w:pPr>
      <w:r>
        <w:rPr/>
      </w:r>
    </w:p>
    <w:p>
      <w:pPr>
        <w:pStyle w:val="Normal"/>
        <w:ind w:left="4956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>
      <w:pPr>
        <w:pStyle w:val="Normal"/>
        <w:ind w:left="5103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</w:t>
      </w:r>
    </w:p>
    <w:p>
      <w:pPr>
        <w:pStyle w:val="Normal"/>
        <w:ind w:left="5103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5103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ind w:left="5103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13.05.2019 № 600</w:t>
      </w:r>
    </w:p>
    <w:p>
      <w:pPr>
        <w:pStyle w:val="Normal"/>
        <w:ind w:left="0" w:right="-5" w:hanging="0"/>
        <w:jc w:val="center"/>
        <w:rPr/>
      </w:pPr>
      <w:r>
        <w:rPr/>
      </w:r>
    </w:p>
    <w:p>
      <w:pPr>
        <w:pStyle w:val="Normal"/>
        <w:jc w:val="center"/>
        <w:rPr>
          <w:b w:val="false"/>
          <w:color w:val="000000"/>
          <w:sz w:val="28"/>
          <w:szCs w:val="28"/>
        </w:rPr>
      </w:pPr>
      <w:r>
        <w:rPr>
          <w:b w:val="false"/>
          <w:color w:val="000000"/>
          <w:sz w:val="28"/>
          <w:szCs w:val="28"/>
        </w:rPr>
        <w:t>ПОРЯДОК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взаимодействия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Кореновский район, подведомственных им </w:t>
      </w:r>
      <w:r>
        <w:rPr>
          <w:b w:val="false"/>
          <w:bCs w:val="false"/>
          <w:color w:val="000000"/>
          <w:sz w:val="28"/>
          <w:szCs w:val="28"/>
        </w:rPr>
        <w:t xml:space="preserve">муниципальных учреждений с организаторами добровольческой (волонтерской) </w:t>
      </w:r>
      <w:r>
        <w:rPr>
          <w:color w:val="000000"/>
          <w:sz w:val="28"/>
          <w:szCs w:val="28"/>
        </w:rPr>
        <w:t xml:space="preserve">деятельности, </w:t>
      </w:r>
      <w:r>
        <w:rPr>
          <w:b w:val="false"/>
          <w:bCs w:val="false"/>
          <w:color w:val="000000"/>
          <w:sz w:val="28"/>
          <w:szCs w:val="28"/>
        </w:rPr>
        <w:t>добровольческими (волонтерскими)</w:t>
      </w:r>
      <w:r>
        <w:rPr>
          <w:color w:val="000000"/>
          <w:sz w:val="28"/>
          <w:szCs w:val="28"/>
        </w:rPr>
        <w:t xml:space="preserve"> организациями </w:t>
      </w:r>
    </w:p>
    <w:p>
      <w:pPr>
        <w:pStyle w:val="Normal"/>
        <w:ind w:left="0" w:right="-5" w:hanging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ind w:left="0" w:right="-5" w:hanging="0"/>
        <w:jc w:val="both"/>
        <w:rPr/>
      </w:pPr>
      <w:r>
        <w:rPr/>
      </w:r>
    </w:p>
    <w:p>
      <w:pPr>
        <w:pStyle w:val="Normal"/>
        <w:shd w:val="clear" w:fill="FFFFFF"/>
        <w:ind w:left="0" w:right="0" w:hang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</w:t>
      </w:r>
      <w:r>
        <w:rPr>
          <w:color w:val="000000"/>
          <w:spacing w:val="2"/>
          <w:sz w:val="28"/>
          <w:szCs w:val="28"/>
        </w:rPr>
        <w:t>1.1. Настоящий Порядок</w:t>
      </w:r>
      <w:r>
        <w:rPr>
          <w:sz w:val="28"/>
          <w:szCs w:val="28"/>
        </w:rPr>
        <w:t xml:space="preserve"> взаимодействия </w:t>
      </w:r>
      <w:r>
        <w:rPr>
          <w:color w:val="000000"/>
          <w:spacing w:val="2"/>
          <w:sz w:val="28"/>
          <w:szCs w:val="28"/>
        </w:rPr>
        <w:t>разработан в соответствии с</w:t>
      </w:r>
      <w:r>
        <w:rPr>
          <w:color w:val="000000"/>
          <w:sz w:val="28"/>
          <w:szCs w:val="28"/>
        </w:rPr>
        <w:t xml:space="preserve"> Федеральным </w:t>
      </w:r>
      <w:hyperlink r:id="rId4">
        <w:r>
          <w:rPr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  <w:u w:val="none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с </w:t>
      </w:r>
      <w:hyperlink r:id="rId5">
        <w:r>
          <w:rPr>
            <w:color w:val="000000"/>
            <w:sz w:val="28"/>
            <w:szCs w:val="28"/>
            <w:u w:val="none"/>
          </w:rPr>
          <w:t>подпунктом 2 пункта 4 статьи 17.3</w:t>
        </w:r>
      </w:hyperlink>
      <w:r>
        <w:rPr>
          <w:color w:val="000000"/>
          <w:sz w:val="28"/>
          <w:szCs w:val="28"/>
          <w:u w:val="none"/>
        </w:rPr>
        <w:t xml:space="preserve"> Федерального закона от 11.08.1995 № 135-ФЗ «О благотворительной деятельности и добровольчестве (волонтерстве)», постановлением Правительства </w:t>
      </w:r>
      <w:r>
        <w:rPr>
          <w:color w:val="000000"/>
          <w:sz w:val="28"/>
          <w:szCs w:val="28"/>
        </w:rPr>
        <w:t xml:space="preserve">РФ от 28.11.2018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РФ,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субъектов РФ,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 и устанавливает порядок взаимодействия органов местного самоуправления Кореновского района, подведомственных им учреждений (далее соответственно — органы местного самоуправления учреждения) с организаторами добровольческой (волонтерской) деятельности и добровольческими (волонтерскими) организациями (далее соответственно - организаторы добровольческой деятельности, добровольческие организации) в целях стимулирования добровольческой (волонтерской) деятельности (далее     —     добровольческая     деятельность),     а      также      обеспечение </w:t>
      </w:r>
    </w:p>
    <w:p>
      <w:pPr>
        <w:pStyle w:val="Normal"/>
        <w:shd w:val="clear" w:fill="FFFFFF"/>
        <w:ind w:left="0" w:right="0" w:hanging="0"/>
        <w:jc w:val="both"/>
        <w:textAlignment w:val="baseline"/>
        <w:rPr/>
      </w:pPr>
      <w:r>
        <w:rPr/>
      </w:r>
    </w:p>
    <w:p>
      <w:pPr>
        <w:pStyle w:val="Normal"/>
        <w:shd w:val="clear" w:fill="FFFFFF"/>
        <w:ind w:left="0" w:right="0" w:hanging="0"/>
        <w:jc w:val="center"/>
        <w:textAlignment w:val="baseline"/>
        <w:rPr/>
      </w:pPr>
      <w:r>
        <w:rPr/>
      </w:r>
    </w:p>
    <w:p>
      <w:pPr>
        <w:pStyle w:val="Normal"/>
        <w:shd w:val="clear" w:fill="FFFFFF"/>
        <w:ind w:left="0" w:right="0" w:hang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>
      <w:pPr>
        <w:pStyle w:val="Normal"/>
        <w:shd w:val="clear" w:fill="FFFFFF"/>
        <w:ind w:left="0" w:right="0" w:hang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взаимодействия органов местного самоуправления и общественных институтов. </w:t>
      </w:r>
    </w:p>
    <w:p>
      <w:pPr>
        <w:pStyle w:val="Normal"/>
        <w:shd w:val="clear" w:fill="FFFFFF"/>
        <w:ind w:left="0" w:right="0" w:hanging="0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ab/>
        <w:t>1.2. Для целей настоящего Порядка применяются следующие понятия:</w:t>
      </w:r>
    </w:p>
    <w:p>
      <w:pPr>
        <w:pStyle w:val="Normal"/>
        <w:shd w:val="clear" w:fill="FFFFFF"/>
        <w:ind w:left="0" w:right="0" w:hang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а) добровольческая (волонтерская) деятельность — добровольная деятельность в форме безвозмездного выполнения работ и (или) оказания  услуг в целях, </w:t>
      </w:r>
      <w:r>
        <w:rPr>
          <w:sz w:val="28"/>
          <w:szCs w:val="28"/>
        </w:rPr>
        <w:t xml:space="preserve">указанных </w:t>
      </w:r>
      <w:r>
        <w:rPr>
          <w:sz w:val="28"/>
          <w:szCs w:val="28"/>
          <w:u w:val="none"/>
        </w:rPr>
        <w:t xml:space="preserve">в </w:t>
      </w:r>
      <w:hyperlink r:id="rId6">
        <w:r>
          <w:rPr>
            <w:color w:val="000000"/>
            <w:sz w:val="28"/>
            <w:szCs w:val="28"/>
            <w:u w:val="none"/>
          </w:rPr>
          <w:t>пункте 1 статьи 2</w:t>
        </w:r>
      </w:hyperlink>
      <w:r>
        <w:rPr>
          <w:sz w:val="28"/>
          <w:szCs w:val="28"/>
        </w:rPr>
        <w:t xml:space="preserve"> Федерального закона</w:t>
      </w:r>
      <w:r>
        <w:rPr>
          <w:color w:val="000000"/>
          <w:sz w:val="28"/>
          <w:szCs w:val="28"/>
        </w:rPr>
        <w:t xml:space="preserve"> «О благотворительной деятельности и добровольчестве (волонтерстве)»;</w:t>
      </w:r>
    </w:p>
    <w:p>
      <w:pPr>
        <w:pStyle w:val="Normal"/>
        <w:shd w:val="clear" w:fill="FFFFFF"/>
        <w:ind w:left="0" w:right="0" w:hang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б) добровольцы (волонтеры) - физические лица, осуществляющие добровольческую (волонтерскую) деятельность в целях, указанны</w:t>
      </w:r>
      <w:r>
        <w:rPr>
          <w:sz w:val="28"/>
          <w:szCs w:val="28"/>
          <w:u w:val="none"/>
        </w:rPr>
        <w:t xml:space="preserve">х в </w:t>
      </w:r>
      <w:hyperlink r:id="rId7">
        <w:r>
          <w:rPr>
            <w:color w:val="000000"/>
            <w:sz w:val="28"/>
            <w:szCs w:val="28"/>
            <w:u w:val="none"/>
          </w:rPr>
          <w:t>пункте 1</w:t>
        </w:r>
        <w:r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  <w:u w:val="none"/>
          </w:rPr>
          <w:t>статьи 2</w:t>
        </w:r>
      </w:hyperlink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«О благотворительной деятельности и добровольчестве (волонтерстве)»</w:t>
      </w:r>
      <w:r>
        <w:rPr>
          <w:sz w:val="28"/>
          <w:szCs w:val="28"/>
        </w:rPr>
        <w:t>, или в иных общественно полезных целях;</w:t>
      </w:r>
    </w:p>
    <w:p>
      <w:pPr>
        <w:pStyle w:val="Normal"/>
        <w:shd w:val="clear" w:fill="FFFFFF"/>
        <w:ind w:left="0" w:righ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деятельностью;</w:t>
      </w:r>
    </w:p>
    <w:p>
      <w:pPr>
        <w:pStyle w:val="Normal"/>
        <w:shd w:val="clear" w:fill="FFFFFF"/>
        <w:ind w:left="0" w:righ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г) 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</w:t>
      </w:r>
      <w:r>
        <w:rPr>
          <w:sz w:val="28"/>
          <w:szCs w:val="28"/>
          <w:u w:val="none"/>
        </w:rPr>
        <w:t xml:space="preserve">в </w:t>
      </w:r>
      <w:hyperlink r:id="rId8">
        <w:r>
          <w:rPr>
            <w:color w:val="000000"/>
            <w:sz w:val="28"/>
            <w:szCs w:val="28"/>
            <w:u w:val="none"/>
          </w:rPr>
          <w:t>пункте 1 статьи 2</w:t>
        </w:r>
      </w:hyperlink>
      <w:r>
        <w:rPr>
          <w:sz w:val="28"/>
          <w:szCs w:val="28"/>
        </w:rPr>
        <w:t xml:space="preserve"> Федерального закона</w:t>
      </w:r>
      <w:r>
        <w:rPr>
          <w:color w:val="000000"/>
          <w:sz w:val="28"/>
          <w:szCs w:val="28"/>
        </w:rPr>
        <w:t xml:space="preserve"> от «О благотворительной деятельности и добровольчестве (волонтерстве)»</w:t>
      </w:r>
      <w:r>
        <w:rPr>
          <w:sz w:val="28"/>
          <w:szCs w:val="28"/>
        </w:rPr>
        <w:t>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деятельностью;</w:t>
      </w:r>
    </w:p>
    <w:p>
      <w:pPr>
        <w:pStyle w:val="Normal"/>
        <w:shd w:val="clear" w:fill="FFFFFF"/>
        <w:ind w:left="0" w:right="0" w:hang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д) уполномоченный орган – отдел по делам молодежи администрации муниципального образования Кореновский район, уполномоченный на осуществление действий, предусмотренных настоящим Порядком взаимодействия.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понятия, используемые в настоящем Порядке, применяются в техже значениях, что и в нормативных правовых актах Российской Федерации, Краснодарского края 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1.3. Цель Порядка взаимодействия – добровольное осуществление </w:t>
      </w:r>
      <w:r>
        <w:rPr>
          <w:color w:val="000000"/>
          <w:sz w:val="28"/>
          <w:szCs w:val="28"/>
        </w:rPr>
        <w:t>организаторами добровольческой (волонтерской) деятельности, добровольческими (волонтерскими) организациями</w:t>
      </w:r>
      <w:r>
        <w:rPr>
          <w:sz w:val="28"/>
          <w:szCs w:val="28"/>
        </w:rPr>
        <w:t xml:space="preserve"> деятельности по </w:t>
      </w:r>
      <w:r>
        <w:rPr>
          <w:color w:val="000000"/>
          <w:spacing w:val="2"/>
          <w:sz w:val="28"/>
          <w:szCs w:val="28"/>
        </w:rPr>
        <w:t>выполнению работ и (или) оказанию услуг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 форме безвозмездного участия в перечне видов деятельности, указанных в пункте 1.5 настоящего Порядка взаимодействия.</w:t>
      </w:r>
    </w:p>
    <w:p>
      <w:pPr>
        <w:pStyle w:val="Normal"/>
        <w:ind w:left="0" w:right="0" w:firstLine="33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 xml:space="preserve">1.4. К перечню видов деятельности, в отношении которых   реализуется Порядок взаимодействия с </w:t>
      </w:r>
      <w:r>
        <w:rPr>
          <w:color w:val="000000"/>
          <w:sz w:val="28"/>
          <w:szCs w:val="28"/>
        </w:rPr>
        <w:t xml:space="preserve">организаторами добровольческой (волонтерской) </w:t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firstLine="3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>
      <w:pPr>
        <w:pStyle w:val="Normal"/>
        <w:ind w:left="0" w:right="0" w:firstLine="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деятельности, добровольческими (волонтерскими) организациями относятся</w:t>
      </w:r>
      <w:r>
        <w:rPr>
          <w:sz w:val="28"/>
          <w:szCs w:val="28"/>
        </w:rPr>
        <w:t xml:space="preserve"> содействие в оказании медицинской  помощи  в  организациях,  оказывающих</w:t>
      </w:r>
    </w:p>
    <w:p>
      <w:pPr>
        <w:pStyle w:val="Normal"/>
        <w:ind w:left="0" w:right="0" w:firstLine="4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медицинскую помощь содействие в оказании социальных услуг в стационарной форме социального обслуживания.</w:t>
      </w:r>
    </w:p>
    <w:p>
      <w:pPr>
        <w:pStyle w:val="Normal"/>
        <w:ind w:left="0" w:right="0" w:hanging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>
        <w:rPr>
          <w:color w:val="000000"/>
          <w:spacing w:val="2"/>
          <w:sz w:val="28"/>
          <w:szCs w:val="28"/>
        </w:rPr>
        <w:t xml:space="preserve">1.5. Особенностями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Федерации». </w:t>
      </w:r>
    </w:p>
    <w:p>
      <w:pPr>
        <w:pStyle w:val="Normal"/>
        <w:ind w:left="0" w:right="0"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</w:p>
    <w:p>
      <w:pPr>
        <w:pStyle w:val="Normal"/>
        <w:shd w:val="clear" w:fill="FFFFFF"/>
        <w:ind w:left="0" w:right="0" w:firstLine="567"/>
        <w:jc w:val="both"/>
        <w:textAlignment w:val="baseline"/>
        <w:rPr/>
      </w:pPr>
      <w:r>
        <w:rPr/>
      </w:r>
    </w:p>
    <w:p>
      <w:pPr>
        <w:pStyle w:val="Normal"/>
        <w:shd w:val="clear" w:fill="FFFFFF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 Условия и порядок осуществления</w:t>
      </w:r>
    </w:p>
    <w:p>
      <w:pPr>
        <w:pStyle w:val="Normal"/>
        <w:shd w:val="clear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добровольческой (волонтерской) деятельности</w:t>
      </w:r>
    </w:p>
    <w:p>
      <w:pPr>
        <w:pStyle w:val="Normal"/>
        <w:shd w:val="clear" w:fill="FFFFFF"/>
        <w:ind w:left="0" w:right="0" w:firstLine="567"/>
        <w:jc w:val="both"/>
        <w:textAlignment w:val="baseline"/>
        <w:rPr/>
      </w:pPr>
      <w:r>
        <w:rPr/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— предложение).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должно содержать следующую информацию 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фамилия, имя, отечество (при наличии), если организатором добровольческой деятельности является физическое лицо;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сведения об адресе официального сайта или официальной страницы, в информационно-телекоммуникационной сети «Интернет» (при наличии);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(волонтерстве)» (далее —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      деятельности         организаторами        добровольческой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деятельности, добровольческой организации и иных требований, установленных законодательством РФ.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 принятии предложения,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об отказе в принятии предложения с указанием причин, послуживших основанием для принятия такого решения.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Срок рассмотрения предложения может быть увеличен на 10 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 правовых нормах, регламентирующих работу органа местного самоуправления, учреждения и (или) организации;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 необходимых режимных требований, правилах техники безопасности и других правилах, соблюдения которых требуется при осуществлении добровольческой деятельности;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об иных условиях осуществления добровольческой деятельности. </w:t>
      </w:r>
    </w:p>
    <w:p>
      <w:pPr>
        <w:pStyle w:val="Normal"/>
        <w:ind w:left="0" w:right="0" w:hang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Организатор   добровольческой   деятельности,   </w:t>
      </w:r>
      <w:r>
        <w:rPr>
          <w:color w:val="000000"/>
          <w:sz w:val="28"/>
          <w:szCs w:val="28"/>
        </w:rPr>
        <w:t>добровольческая  организация</w:t>
      </w:r>
      <w:r>
        <w:rPr>
          <w:sz w:val="28"/>
          <w:szCs w:val="28"/>
        </w:rPr>
        <w:t xml:space="preserve"> в случае </w:t>
      </w:r>
      <w:r>
        <w:rPr>
          <w:color w:val="000000"/>
          <w:sz w:val="28"/>
          <w:szCs w:val="28"/>
        </w:rPr>
        <w:t>отказа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порядке, установленном настоящим порядком.</w:t>
      </w:r>
    </w:p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Заключение соглашения о совместной деятельности</w:t>
      </w:r>
    </w:p>
    <w:p>
      <w:pPr>
        <w:pStyle w:val="Normal"/>
        <w:ind w:left="0" w:right="0" w:firstLine="567"/>
        <w:jc w:val="both"/>
        <w:rPr/>
      </w:pPr>
      <w:r>
        <w:rPr/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органов местного самоуправления, учреждений с организатором добровольческой деятельности, добровольческой организацией осуществления на основании соглашения о взаимодействии (далее — соглашение), за исключением случаев, определенных сторонами Соглашение заключается в случае принятии органом местного самоуправления, учреждением решения об одобрении предложения с организатором добровольческой деятельности, добровольческой организацией и предусматривает: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условия осуществления добровольческой деятельности: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стороны, органов местного самоуправления, учреждения и (или) организации, для оперативного решения вопросов, возникающих при взаимодействии;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порядок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оборудования;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возможность учета деятельности добровольцев в единой информационной системе в сфере развития добровольчества (волонтерства);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 федеральным органом исполнительной власти;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иные положения, не противоречащие законодательству РФ.</w:t>
      </w:r>
    </w:p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/>
      </w:pPr>
      <w:r>
        <w:rPr/>
      </w:r>
    </w:p>
    <w:p>
      <w:pPr>
        <w:pStyle w:val="Normal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Орган местного самоуправления, учреждение не позднее пяти рабочих дней со  дня принятия предложения направляют для рассмотрения и подписания два подписанных экземпляра проекта соглашения организатору добровольческой деятельности, добровольческой организации любым доступным способом, позволяющим подтвердить получение проекта соглашения.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Организатор   добровольческой  деятельности,  добровольческая организация в течение трех рабочих дней со дня получения проекта соглашения рассматривают его и направляют в орган местного самоуправления, учреждение любым доступным способом, позволяющим подтвердить получение одного из следующих документов: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подписанное соглашение;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оформленный в произвольной письменной форме отказ от подписания 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оформленный в произвольной письменной форме протокол разногласий к проекту соглашения.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заключения соглашения с органом местного самоуправления,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Т.Г. Ковалева</w:t>
      </w:r>
    </w:p>
    <w:sectPr>
      <w:headerReference w:type="default" r:id="rId9"/>
      <w:footerReference w:type="default" r:id="rId10"/>
      <w:footerReference w:type="first" r:id="rId11"/>
      <w:type w:val="nextPage"/>
      <w:pgSz w:w="11906" w:h="16838"/>
      <w:pgMar w:left="1701" w:right="850" w:gutter="0" w:header="1134" w:top="1648" w:footer="0" w:bottom="1276"/>
      <w:pgNumType w:fmt="decimal"/>
      <w:formProt w:val="false"/>
      <w:textDirection w:val="lrTb"/>
      <w:docGrid w:type="default" w:linePitch="88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zh-CN" w:bidi="ar-SA"/>
    </w:rPr>
  </w:style>
  <w:style w:type="character" w:styleId="DefaultParagraphFont">
    <w:name w:val="Default Paragraph Font"/>
    <w:qFormat/>
    <w:rPr/>
  </w:style>
  <w:style w:type="character" w:styleId="Style9">
    <w:name w:val="Strong"/>
    <w:qFormat/>
    <w:rPr>
      <w:b/>
      <w:bCs/>
    </w:rPr>
  </w:style>
  <w:style w:type="character" w:styleId="Style10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zh-CN"/>
    </w:rPr>
  </w:style>
  <w:style w:type="character" w:styleId="Style1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2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3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-">
    <w:name w:val="Hyperlink"/>
    <w:rPr>
      <w:color w:val="000080"/>
      <w:u w:val="single"/>
      <w:lang w:val="ru-RU" w:eastAsia="ru-RU" w:bidi="ru-RU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20"/>
    </w:pPr>
    <w:rPr/>
  </w:style>
  <w:style w:type="paragraph" w:styleId="Style17">
    <w:name w:val="List"/>
    <w:basedOn w:val="Style16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Hindi"/>
    </w:rPr>
  </w:style>
  <w:style w:type="paragraph" w:styleId="1">
    <w:name w:val="Заголовок1"/>
    <w:basedOn w:val="Normal"/>
    <w:qFormat/>
    <w:pPr>
      <w:jc w:val="center"/>
    </w:pPr>
    <w:rPr>
      <w:b/>
      <w:sz w:val="28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Style22">
    <w:name w:val="Head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Arial" w:cs="Calibri"/>
      <w:color w:val="00000A"/>
      <w:kern w:val="0"/>
      <w:sz w:val="22"/>
      <w:szCs w:val="22"/>
      <w:lang w:val="ru-RU" w:eastAsia="zh-CN" w:bidi="ar-SA"/>
    </w:rPr>
  </w:style>
  <w:style w:type="paragraph" w:styleId="Style23">
    <w:name w:val="Знак Знак Знак Знак"/>
    <w:basedOn w:val="Normal"/>
    <w:qFormat/>
    <w:pPr>
      <w:suppressAutoHyphens w:val="false"/>
      <w:spacing w:before="28" w:after="28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consultantplus://offline/ref=8C8B3292586CBDF33C981BD9170A590A6833BAF3C580EAFAC19E9BD93522E9A6B2A368D8A2eFrFK" TargetMode="External"/><Relationship Id="rId5" Type="http://schemas.openxmlformats.org/officeDocument/2006/relationships/hyperlink" Target="consultantplus://offline/ref=46CB01B9EF74D9AD8911B6E161C756B9368612AF03E7A9E5FCCD49FF1AEF886C83ECF550G035C" TargetMode="External"/><Relationship Id="rId6" Type="http://schemas.openxmlformats.org/officeDocument/2006/relationships/hyperlink" Target="consultantplus://offline/ref=FEBDAB70D97C52BA28A0E909CFC532BF1DBD6E7DFB0BB888B533C0300682C03D5C8D670BEDRAM" TargetMode="External"/><Relationship Id="rId7" Type="http://schemas.openxmlformats.org/officeDocument/2006/relationships/hyperlink" Target="consultantplus://offline/ref=FEBDAB70D97C52BA28A0E909CFC532BF1DBD6E7DFB0BB888B533C0300682C03D5C8D670BEDRAM" TargetMode="External"/><Relationship Id="rId8" Type="http://schemas.openxmlformats.org/officeDocument/2006/relationships/hyperlink" Target="consultantplus://offline/ref=FEBDAB70D97C52BA28A0E909CFC532BF1DBD6E7DFB0BB888B533C0300682C03D5C8D670BEDRAM" TargetMode="Externa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7303</TotalTime>
  <Application>LibreOffice/7.5.0.3$Windows_X86_64 LibreOffice_project/c21113d003cd3efa8c53188764377a8272d9d6de</Application>
  <AppVersion>15.0000</AppVersion>
  <Pages>7</Pages>
  <Words>1564</Words>
  <Characters>13164</Characters>
  <CharactersWithSpaces>15413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2019-03-21T06:51:00Z</dcterms:created>
  <dc:creator>Начальник отдела</dc:creator>
  <dc:description/>
  <dc:language>ru-RU</dc:language>
  <cp:lastModifiedBy/>
  <cp:lastPrinted>2019-06-18T17:34:49Z</cp:lastPrinted>
  <dcterms:modified xsi:type="dcterms:W3CDTF">2022-11-23T16:18:31Z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