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2.0 -->
  <w:body>
    <w:p>
      <w:pPr>
        <w:pStyle w:val="Standard"/>
        <w:jc w:val="center"/>
        <w:rPr>
          <w:lang w:bidi=""/>
        </w:rPr>
      </w:pPr>
      <w:r>
        <w:rPr>
          <w:lang w:bidi="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19pt;height:64.86pt;mso-position-horizontal:center;mso-wrap-distance-bottom:0;mso-wrap-distance-left:0;mso-wrap-distance-right:0;mso-wrap-distance-top:0" filled="t" fillcolor="white" stroked="f">
            <v:fill opacity="1" type="solid"/>
            <v:imagedata r:id="rId4" o:title="" gain="1" blacklevel="0"/>
          </v:shape>
        </w:pict>
      </w:r>
    </w:p>
    <w:p>
      <w:pPr>
        <w:pStyle w:val="Heading1"/>
        <w:tabs>
          <w:tab w:val="left" w:pos="0"/>
        </w:tabs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</w:tabs>
        <w:rPr>
          <w:rFonts w:ascii="Times New Roman" w:hAnsi="Times New Roman"/>
          <w:sz w:val="28"/>
          <w:lang w:bidi=""/>
        </w:rPr>
      </w:pPr>
      <w:r>
        <w:rPr>
          <w:rFonts w:ascii="Times New Roman" w:hAnsi="Times New Roman"/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rFonts w:ascii="Times New Roman" w:hAnsi="Times New Roman"/>
          <w:sz w:val="28"/>
          <w:lang w:bidi=""/>
        </w:rPr>
        <w:t>КОРЕНОВСКИЙ  РАЙОН</w:t>
      </w:r>
    </w:p>
    <w:p>
      <w:pPr>
        <w:pStyle w:val="Heading1"/>
        <w:tabs>
          <w:tab w:val="left" w:pos="0"/>
        </w:tabs>
        <w:spacing w:line="360" w:lineRule="auto"/>
        <w:jc w:val="center"/>
        <w:rPr>
          <w:rFonts w:ascii="Times New Roman" w:hAnsi="Times New Roman"/>
          <w:sz w:val="36"/>
          <w:lang w:bidi=""/>
        </w:rPr>
      </w:pPr>
      <w:r>
        <w:rPr>
          <w:rFonts w:ascii="Times New Roman" w:hAnsi="Times New Roman"/>
          <w:sz w:val="36"/>
          <w:lang w:bidi=""/>
        </w:rPr>
        <w:t>РАСПОРЯЖЕНИЕ</w:t>
      </w:r>
    </w:p>
    <w:p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26.01.2024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15-</w:t>
      </w:r>
      <w:r>
        <w:rPr>
          <w:rFonts w:ascii="Times New Roman" w:hAnsi="Times New Roman"/>
          <w:b/>
          <w:sz w:val="24"/>
          <w:lang w:val="ru-RU"/>
        </w:rPr>
        <w:t>р</w:t>
      </w:r>
    </w:p>
    <w:p>
      <w:pPr>
        <w:pStyle w:val="Standard"/>
        <w:jc w:val="center"/>
        <w:rPr>
          <w:rFonts w:ascii="Times New Roman" w:hAnsi="Times New Roman"/>
          <w:sz w:val="24"/>
          <w:lang w:bidi=""/>
        </w:rPr>
      </w:pPr>
      <w:r>
        <w:rPr>
          <w:rFonts w:ascii="Times New Roman" w:hAnsi="Times New Roman"/>
          <w:sz w:val="24"/>
          <w:lang w:bidi=""/>
        </w:rPr>
        <w:t>г. Кореновск</w:t>
      </w:r>
    </w:p>
    <w:p>
      <w:pPr>
        <w:pStyle w:val="Standard"/>
        <w:jc w:val="center"/>
        <w:rPr>
          <w:sz w:val="24"/>
          <w:lang w:bidi=""/>
        </w:rPr>
      </w:pPr>
    </w:p>
    <w:p>
      <w:pPr>
        <w:pStyle w:val="Standard"/>
        <w:shd w:val="clear" w:color="auto" w:fill="FFFFFF"/>
        <w:spacing w:line="240" w:lineRule="auto"/>
        <w:ind w:left="420" w:right="0" w:firstLine="0"/>
        <w:jc w:val="center"/>
        <w:rPr/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bookmarkStart w:id="0" w:name="__DdeLink__98_728292955"/>
      <w:bookmarkStart w:id="1" w:name="__DdeLink__3824_1236633204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 утверждении карты рисков нарушения антимонопольного законодательства (комплаенс-рисков)</w:t>
      </w:r>
    </w:p>
    <w:p>
      <w:pPr>
        <w:pStyle w:val="3"/>
        <w:shd w:val="clear" w:color="auto" w:fill="FFFFFF"/>
        <w:spacing w:line="240" w:lineRule="auto"/>
        <w:ind w:left="420" w:right="0" w:firstLine="0"/>
        <w:rPr/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 муниципальном образовании Кореновский район</w:t>
      </w:r>
      <w:bookmarkEnd w:id="0"/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на 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год</w:t>
      </w:r>
    </w:p>
    <w:p>
      <w:pPr>
        <w:pStyle w:val="3"/>
        <w:shd w:val="clear" w:color="auto" w:fill="FFFFFF"/>
        <w:spacing w:line="240" w:lineRule="auto"/>
        <w:ind w:left="420" w:right="0" w:firstLine="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>
      <w:pPr>
        <w:pStyle w:val="Standard"/>
        <w:suppressAutoHyphens/>
        <w:spacing w:before="0" w:after="0" w:line="240" w:lineRule="auto"/>
        <w:ind w:left="0" w:right="0" w:firstLine="708"/>
        <w:jc w:val="both"/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В целях реализации Национального плана развития конкуренции в Российской Федерации на 2021-2025 годы, утвержденного распоряжением Правительства РФ от 02.09.2021 № 2424-р «Об утверждении Национального плана ("дорожной карты") развития конкуренции в Российской Федерации на 2021 - 2025 годы», 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Федерального закона от 26 июля 2006 года № 135-ФЗ «О защите конкуренции», 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а также в соответствии с распоряжением 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постановления администрации муниципального образования Кореновский район от 30 декабря 2021 года №1743 «О внесении изменений в постановление администрации муниципального образования Кореновский район от                  26 марта 2019 года № 415 «Об организации системы внутреннего обеспечения соответствия требованиям антимонопольного законодательства в администрации муниципального образования Кореновский район»</w:t>
      </w:r>
      <w:r>
        <w:rPr>
          <w:rFonts w:eastAsia="Times New Roman" w:cs="Times New Roman"/>
          <w:color w:val="000000"/>
          <w:spacing w:val="0"/>
          <w:sz w:val="28"/>
          <w:szCs w:val="28"/>
          <w:shd w:val="clear" w:color="auto" w:fill="FFFFFF"/>
          <w:lang w:val="ru-RU" w:eastAsia="ru-RU" w:bidi="ru-RU"/>
        </w:rPr>
        <w:t>:</w:t>
      </w:r>
    </w:p>
    <w:p>
      <w:pPr>
        <w:pStyle w:val="Standard"/>
        <w:spacing w:before="0" w:after="0" w:line="240" w:lineRule="auto"/>
        <w:ind w:left="0" w:right="0" w:firstLine="709"/>
        <w:jc w:val="both"/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1. Утвердить карту рисков нарушения антимонопольного законодательства (комплаенс-рисков) в муниципальном образовании Кореновский район на 202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4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 год согласно приложению к настоящему распоряжению.</w:t>
      </w:r>
    </w:p>
    <w:p>
      <w:pPr>
        <w:pStyle w:val="Standard"/>
        <w:tabs>
          <w:tab w:val="left" w:pos="5612"/>
        </w:tabs>
        <w:spacing w:before="0" w:after="0" w:line="240" w:lineRule="auto"/>
        <w:ind w:left="0" w:right="0" w:firstLine="709"/>
        <w:jc w:val="both"/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2. Управлению службы протокола и информационной политики а</w:t>
      </w:r>
      <w:r>
        <w:rPr>
          <w:rFonts w:eastAsia="Times New Roman" w:cs="Times New Roman"/>
          <w:b w:val="0"/>
          <w:color w:val="000000"/>
          <w:spacing w:val="0"/>
          <w:sz w:val="28"/>
          <w:szCs w:val="28"/>
          <w:lang w:val="ru-RU" w:eastAsia="ru-RU" w:bidi="ru-RU"/>
        </w:rPr>
        <w:t>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tabs>
          <w:tab w:val="left" w:pos="5612"/>
        </w:tabs>
        <w:spacing w:before="0" w:after="0" w:line="240" w:lineRule="auto"/>
        <w:ind w:left="0" w:right="0" w:firstLine="709"/>
        <w:jc w:val="both"/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3. Контроль за выполнением настоящего распоряжения возложить на 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заместителя главы администрации муниципального образования Кореновский район Колупайко С.В.</w:t>
      </w:r>
    </w:p>
    <w:p>
      <w:pPr>
        <w:pStyle w:val="Standard"/>
        <w:tabs>
          <w:tab w:val="left" w:pos="5612"/>
        </w:tabs>
        <w:spacing w:before="0" w:after="0" w:line="240" w:lineRule="auto"/>
        <w:ind w:left="0" w:right="0" w:firstLine="709"/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4. Распоряжение вступает в силу со дня его подписания.</w:t>
      </w:r>
    </w:p>
    <w:p>
      <w:pPr>
        <w:pStyle w:val="Standard"/>
        <w:tabs>
          <w:tab w:val="left" w:pos="1134"/>
          <w:tab w:val="left" w:pos="1276"/>
        </w:tabs>
        <w:spacing w:before="0" w:after="0" w:line="317" w:lineRule="exact"/>
        <w:rPr>
          <w:rFonts w:cs="Times New Roman"/>
          <w:sz w:val="27"/>
          <w:szCs w:val="27"/>
          <w:lang w:eastAsia="ru-RU"/>
        </w:rPr>
      </w:pPr>
    </w:p>
    <w:p>
      <w:pPr>
        <w:pStyle w:val="Standard"/>
        <w:tabs>
          <w:tab w:val="left" w:pos="1134"/>
          <w:tab w:val="left" w:pos="1276"/>
        </w:tabs>
        <w:spacing w:before="0" w:after="0" w:line="317" w:lineRule="exact"/>
        <w:rPr>
          <w:rFonts w:cs="Times New Roman"/>
          <w:sz w:val="27"/>
          <w:szCs w:val="27"/>
          <w:lang w:eastAsia="ru-RU"/>
        </w:rPr>
      </w:pPr>
    </w:p>
    <w:p>
      <w:pPr>
        <w:pStyle w:val="ListParagraph"/>
        <w:tabs>
          <w:tab w:val="left" w:pos="993"/>
        </w:tabs>
        <w:spacing w:before="0" w:after="0" w:line="240" w:lineRule="auto"/>
        <w:ind w:left="0" w:right="0" w:firstLine="0"/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Исполняющий обязанности г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лав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ы</w:t>
      </w:r>
    </w:p>
    <w:p>
      <w:pPr>
        <w:pStyle w:val="ListParagraph"/>
        <w:tabs>
          <w:tab w:val="left" w:pos="993"/>
        </w:tabs>
        <w:spacing w:before="0" w:after="0" w:line="240" w:lineRule="auto"/>
        <w:ind w:left="0" w:right="0" w:firstLine="0"/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муниципального образования</w:t>
      </w:r>
    </w:p>
    <w:p>
      <w:pPr>
        <w:pStyle w:val="ListParagraph"/>
        <w:tabs>
          <w:tab w:val="left" w:pos="993"/>
        </w:tabs>
        <w:spacing w:before="0" w:after="200"/>
        <w:ind w:left="0" w:right="0" w:firstLine="0"/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 xml:space="preserve">Кореновский район                                                                        </w:t>
      </w:r>
      <w:r>
        <w:rPr>
          <w:rFonts w:eastAsia="Times New Roman" w:cs="Times New Roman"/>
          <w:color w:val="000000"/>
          <w:spacing w:val="0"/>
          <w:sz w:val="28"/>
          <w:szCs w:val="28"/>
          <w:lang w:val="ru-RU" w:eastAsia="ru-RU" w:bidi="ru-RU"/>
        </w:rPr>
        <w:t>И.А. Максименко</w:t>
      </w:r>
    </w:p>
    <w:p>
      <w:pPr>
        <w:pStyle w:val="Standard"/>
        <w:spacing w:before="0" w:after="0" w:line="240" w:lineRule="auto"/>
        <w:jc w:val="center"/>
        <w:rPr>
          <w:rFonts w:eastAsia="Times New Roman" w:cs="Times New Roman"/>
          <w:b/>
          <w:bCs/>
          <w:color w:val="000000"/>
          <w:spacing w:val="0"/>
          <w:sz w:val="28"/>
          <w:szCs w:val="28"/>
          <w:shd w:val="clear" w:color="auto" w:fill="auto"/>
          <w:lang w:val="ru-RU" w:eastAsia="ru-RU" w:bidi="ru-RU"/>
        </w:rPr>
      </w:pPr>
    </w:p>
    <w:p>
      <w:pPr>
        <w:pStyle w:val="Standard"/>
        <w:jc w:val="center"/>
        <w:rPr>
          <w:rFonts w:ascii="Times New Roman" w:hAnsi="Times New Roman"/>
          <w:sz w:val="28"/>
          <w:szCs w:val="28"/>
        </w:rPr>
        <w:sectPr>
          <w:type w:val="continuous"/>
          <w:pgSz w:w="11906" w:h="16838" w:orient="portrait"/>
          <w:pgMar w:top="1134" w:right="567" w:bottom="1134" w:left="1701" w:header="1134" w:footer="1134"/>
          <w:pgBorders>
            <w:top w:val="nil"/>
            <w:left w:val="nil"/>
            <w:bottom w:val="nil"/>
            <w:right w:val="nil"/>
          </w:pgBorders>
          <w:cols w:space="720"/>
          <w:bidi w:val="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>
      <w:pPr>
        <w:spacing w:after="0"/>
        <w:ind w:left="10773" w:firstLine="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>
      <w:pPr>
        <w:spacing w:after="0"/>
        <w:ind w:left="10773" w:firstLine="0"/>
        <w:rPr>
          <w:rFonts w:ascii="Times New Roman" w:eastAsia="Calibri" w:hAnsi="Times New Roman" w:cs="Times New Roman"/>
          <w:sz w:val="28"/>
          <w:szCs w:val="28"/>
        </w:rPr>
      </w:pPr>
    </w:p>
    <w:p>
      <w:pPr>
        <w:spacing w:after="0"/>
        <w:ind w:left="10773" w:firstLine="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>
      <w:pPr>
        <w:spacing w:after="0"/>
        <w:ind w:firstLine="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распоряжением администрации </w:t>
      </w:r>
    </w:p>
    <w:p>
      <w:pPr>
        <w:spacing w:after="0"/>
        <w:ind w:left="9865" w:right="0" w:firstLine="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>
      <w:pPr>
        <w:spacing w:after="0"/>
        <w:ind w:left="9865" w:right="0" w:firstLine="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Кореновский район</w:t>
      </w:r>
    </w:p>
    <w:p>
      <w:pPr>
        <w:spacing w:after="0"/>
        <w:ind w:left="9865" w:right="0" w:firstLine="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26.01.2024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15-р</w:t>
      </w:r>
    </w:p>
    <w:p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Карта рисков нарушения антимонопольного законодательства (комплаенс – рисков) в</w:t>
      </w:r>
    </w:p>
    <w:p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Кореновский район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 образования Краснодарского края)</w:t>
      </w:r>
    </w:p>
    <w:p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14475" w:type="dxa"/>
        <w:jc w:val="left"/>
        <w:tblInd w:w="182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80"/>
        <w:gridCol w:w="2565"/>
        <w:gridCol w:w="2909"/>
        <w:gridCol w:w="2911"/>
        <w:gridCol w:w="2910"/>
      </w:tblGrid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Выявленный риск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(ссылка на нарушение законодательства)</w:t>
            </w:r>
          </w:p>
        </w:tc>
        <w:tc>
          <w:tcPr>
            <w:tcW w:w="2565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риска</w:t>
            </w:r>
          </w:p>
        </w:tc>
        <w:tc>
          <w:tcPr>
            <w:tcW w:w="2909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Причины, услов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  возникновения риска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минимизации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устранению риска</w:t>
            </w:r>
          </w:p>
        </w:tc>
        <w:tc>
          <w:tcPr>
            <w:tcW w:w="2910" w:type="dxa"/>
            <w:shd w:val="clear" w:color="auto" w:fill="auto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(отсутствие) остаточного риска</w:t>
            </w:r>
          </w:p>
        </w:tc>
      </w:tr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актов, подписание соглашений и осуществление действий (бездействий), которые могут привести к недопущению, ограничению, устранению конкуренции</w:t>
            </w: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Структурные подразделения: управление земельных и имущественных отношений, управление экономики, отдел ЖКХ, транспорта и связи, управление сельского  хозяйства.</w:t>
            </w:r>
          </w:p>
        </w:tc>
        <w:tc>
          <w:tcPr>
            <w:tcW w:w="2565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преимущественных условий ведения предпринимательской  и инвестиционной деятельности для отдельных категорий данных субъектов в результате принятия нормативных актов, подписания соглашений</w:t>
            </w:r>
          </w:p>
        </w:tc>
        <w:tc>
          <w:tcPr>
            <w:tcW w:w="2909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Некачественное проведение правовых экспертиз в части соответствия проектов нормативных правовых актов, проектов соглашений требованиям антимонопольного законодательства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auto"/>
          </w:tcPr>
          <w:p>
            <w:pPr>
              <w:widowControl w:val="0"/>
              <w:numPr>
                <w:ilvl w:val="0"/>
                <w:numId w:val="3"/>
              </w:numPr>
              <w:tabs>
                <w:tab w:val="num" w:pos="0"/>
              </w:tabs>
              <w:suppressAutoHyphens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и анализа практики применения антимонопольного законодательства, при необходимости инициирование внесения соответствующих изменений по результатам проведенного мониторинга.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num" w:pos="0"/>
              </w:tabs>
              <w:suppressAutoHyphens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мероприятий с должностными лицами, ответственными за разработку проектов нормативных правовых актов.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num" w:pos="0"/>
              </w:tabs>
              <w:suppressAutoHyphens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проектов муниципальных правовых актов на наличие рисков нарушения антимонопольного законодательства.</w:t>
            </w:r>
          </w:p>
          <w:p>
            <w:pPr>
              <w:widowControl w:val="0"/>
              <w:numPr>
                <w:ilvl w:val="0"/>
                <w:numId w:val="3"/>
              </w:numPr>
              <w:tabs>
                <w:tab w:val="num" w:pos="0"/>
              </w:tabs>
              <w:suppressAutoHyphens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сбора и проведение оценки поступающих от организаций и граждан замечаний и предложений по проектам нормативных правовых актов.</w:t>
            </w:r>
          </w:p>
        </w:tc>
        <w:tc>
          <w:tcPr>
            <w:tcW w:w="291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</w:tc>
      </w:tr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ыдача разрешений на установку и эксплуатацию рекламных конструкций</w:t>
            </w: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Структурные подразделения: управление архитектуры и градостроительства</w:t>
            </w:r>
          </w:p>
        </w:tc>
        <w:tc>
          <w:tcPr>
            <w:tcW w:w="2565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пи выдаче разрешений на установку и эксплуатацию рекламных конструкций, повлекшие за собой нарушение антимонопольного законодательства</w:t>
            </w:r>
          </w:p>
        </w:tc>
        <w:tc>
          <w:tcPr>
            <w:tcW w:w="2909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на установку и эксплуатацию рекламных конструкций без проведения торгов, влекущее за собой возникновение препятствий в развитии конкуренции, ущемление интересов хозяйствующих субъектов, граждан, желающих получить права на установку и эксплуатацию рекламной конструкции. Риск не возникал.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Повышение уровня квалификации сотрудников.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Усиление внутреннего контроля.</w:t>
            </w:r>
          </w:p>
        </w:tc>
        <w:tc>
          <w:tcPr>
            <w:tcW w:w="291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</w:tc>
      </w:tr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3.Конфликт интересов в деятельности муниципальных служащих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Структурные подразделения: все структурные подразделения администрации муниципального образования Кореновский район</w:t>
            </w:r>
          </w:p>
        </w:tc>
        <w:tc>
          <w:tcPr>
            <w:tcW w:w="2565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конфликта интересов в деятельности муниципальных служащих</w:t>
            </w:r>
          </w:p>
        </w:tc>
        <w:tc>
          <w:tcPr>
            <w:tcW w:w="2909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 не возникал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сотрудников о наличии рисков нарушения законодательства Российской Федерации о противодействии коррупции</w:t>
            </w:r>
          </w:p>
        </w:tc>
        <w:tc>
          <w:tcPr>
            <w:tcW w:w="291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</w:tc>
      </w:tr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4.Осуществление закупок товаров, работ, услуг для обеспечения муниципальных нужд с нарушением норм антимонопольного законодательства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Структурные подразделения: заказчики муниципального образования Кореновский район</w:t>
            </w:r>
          </w:p>
        </w:tc>
        <w:tc>
          <w:tcPr>
            <w:tcW w:w="2565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статьи 17 Федерального закона от 26.07.2006 № 135-ФЗ «О защите конкуренции» при осуществлении закупок товаров, работ, услуг для обеспечения муниципальных нужд, повлекшие  нарушение  антимонопольного законодательства, в том числе выразившееся в создании участникам закупок преимущественных условий участия в закупках путем установления (не установления) требований к участникам закупок, не предусмотренных действующим законодательством; ограничение доступа хозяйствующих субъектов к участию в муниципальных закупках путем включения в документацию о закупке условий технического задания (сжатых сроков), реализация которых не представляется возможной; описание объекта торгов с нарушением установленных требований; «дробление» закупок товаров, работ, услуг с целью заключения контракта с единственным поставщиком, уход от конкурентных способов определения поставщика</w:t>
            </w:r>
          </w:p>
        </w:tc>
        <w:tc>
          <w:tcPr>
            <w:tcW w:w="2909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внутреннего контроля; недостаточная компетентность сотрудников; высокая загруженность сотрудников; включение в документацию о закупке избыточных требований и (или) документов, не предусмотренных законодательством, либо не включение в документацию о закупке требований и (или) документов, предусмотренных законодательством; конфликт интересов; неоднозначность толкования формулировок  нормативных правовых актов.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auto"/>
          </w:tcPr>
          <w:p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изменений законодательства о закупках.</w:t>
            </w:r>
          </w:p>
          <w:p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 взаимодействия сотрудников, ответственных за подготовку документации, участвующих в процедуре определения поставщика по муниципальным контрактам с хозяйствующими субъектами.</w:t>
            </w:r>
          </w:p>
          <w:p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повышение квалификации сотрудников.</w:t>
            </w:r>
          </w:p>
        </w:tc>
        <w:tc>
          <w:tcPr>
            <w:tcW w:w="291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</w:tc>
      </w:tr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Предоставление муниципальных услуг с нарушением порядка предоставления муниципальных услуг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Структурные подразделения: управление земельных и имущественных отношений,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отдел ЖКХ, транспорта и связи, управление образования, архивный отдел, управление делами, управление капитального строительства, отдел культуры.</w:t>
            </w:r>
          </w:p>
        </w:tc>
        <w:tc>
          <w:tcPr>
            <w:tcW w:w="2565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Нарушение порядка предоставления муниципальных услуг: отказ в предоставлении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 по основаниям, не предусмотренным законодательством; нарушение сроков предоставления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услуг, установленных административными регламентами, принятие решений о предоставлении муниципальной услуги при наличии оснований для отказа в ее предоставлении, истребование документов от физических и юридических лиц, не предусмотренных нормативно-правовыми актами.</w:t>
            </w:r>
          </w:p>
        </w:tc>
        <w:tc>
          <w:tcPr>
            <w:tcW w:w="2909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контроля; низкий уровень квалификации сотрудника.</w:t>
            </w: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 не возникал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текущего контроля предоставления муниципальных услуг, мониторинг соответствия административных регламентов законодательству Российской Федерации</w:t>
            </w:r>
          </w:p>
        </w:tc>
        <w:tc>
          <w:tcPr>
            <w:tcW w:w="2910" w:type="dxa"/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</w:tc>
      </w:tr>
      <w:tr>
        <w:tblPrEx>
          <w:tblW w:w="14475" w:type="dxa"/>
          <w:jc w:val="left"/>
          <w:tblInd w:w="182" w:type="dxa"/>
          <w:tblLayout w:type="fixed"/>
          <w:tblCellMar>
            <w:top w:w="0" w:type="dxa"/>
            <w:left w:w="9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180" w:type="dxa"/>
            <w:tcBorders>
              <w:top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6.Заключение договоров аренды, договоров безвозмездного пользования, иных договоров, предусматривающих переход прав владения и (или) пользования в отношении государственного или муниципального имущества, не закрепленного на праве хозяйственного ведения или оперативного управления.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Структурное подразделение: 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2565" w:type="dxa"/>
            <w:tcBorders>
              <w:top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Формирование документации с нарушением антимонопольного законодательства;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Ослабление контроля за сроками проведения конкурса;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Недостаточное информирование;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Заключение договоров аренды в отношении муниципального имущества на новый срок без проведения торгов.</w:t>
            </w:r>
          </w:p>
        </w:tc>
        <w:tc>
          <w:tcPr>
            <w:tcW w:w="2909" w:type="dxa"/>
            <w:tcBorders>
              <w:top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Загруженность специалистов.</w:t>
            </w: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Недостаточная координация со стороны руководства.</w:t>
            </w: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Недостаточный уровень квалификации специалистов.</w:t>
            </w: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 не возникал</w:t>
            </w:r>
          </w:p>
        </w:tc>
        <w:tc>
          <w:tcPr>
            <w:tcW w:w="2911" w:type="dxa"/>
            <w:tcBorders>
              <w:top w:val="nil"/>
              <w:right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Участие должностных лиц в обучающих мероприятиях и тренингах по вопросам управления муниципальным имуществом.</w:t>
            </w:r>
          </w:p>
          <w:p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Пропорциональное распределение должностных обязанностей между сотрудниками.</w:t>
            </w:r>
          </w:p>
        </w:tc>
        <w:tc>
          <w:tcPr>
            <w:tcW w:w="2910" w:type="dxa"/>
            <w:tcBorders>
              <w:top w:val="nil"/>
            </w:tcBorders>
            <w:shd w:val="clear" w:color="auto" w:fill="auto"/>
          </w:tcPr>
          <w:p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</w:tc>
      </w:tr>
    </w:tbl>
    <w:p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 главы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С.В. Колупайко</w:t>
      </w:r>
    </w:p>
    <w:sectPr>
      <w:type w:val="nextPage"/>
      <w:pgSz w:w="16838" w:h="11906" w:orient="landscape"/>
      <w:pgMar w:top="850" w:right="567" w:bottom="1134" w:left="1417" w:header="0" w:footer="0" w:gutter="0"/>
      <w:pgNumType w:fmt="decimal"/>
      <w:cols w:space="720"/>
      <w:formProt w:val="0"/>
      <w:textDirection w:val="lrTb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swiss"/>
    <w:pitch w:val="variable"/>
    <w:sig w:usb0="00000000" w:usb1="00000000" w:usb2="00000000" w:usb3="00000000" w:csb0="00000001" w:csb1="00000000"/>
  </w:font>
  <w:font w:name="Calibri">
    <w:charset w:val="CC"/>
    <w:family w:val="roman"/>
    <w:pitch w:val="variable"/>
    <w:sig w:usb0="00000000" w:usb1="00000000" w:usb2="00000000" w:usb3="00000000" w:csb0="00000005" w:csb1="00000000"/>
  </w:font>
  <w:font w:name="DejaVu Sans">
    <w:charset w:val="00"/>
    <w:family w:val="auto"/>
    <w:pitch w:val="variable"/>
    <w:sig w:usb0="00000000" w:usb1="00000000" w:usb2="00000000" w:usb3="00000000" w:csb0="00000001" w:csb1="00000000"/>
  </w:font>
  <w:font w:name="Lohit Hindi">
    <w:charset w:val="00"/>
    <w:family w:val="auto"/>
    <w:pitch w:val="variable"/>
    <w:sig w:usb0="00000000" w:usb1="00000000" w:usb2="00000000" w:usb3="00000000" w:csb0="00000001" w:csb1="00000000"/>
  </w:font>
  <w:font w:name="Times New Roman">
    <w:charset w:val="CC"/>
    <w:family w:val="roman"/>
    <w:pitch w:val="variable"/>
    <w:sig w:usb0="00000000" w:usb1="00000000" w:usb2="00000000" w:usb3="00000000" w:csb0="00000005" w:csb1="00000000"/>
  </w:font>
  <w:font w:name="Symbol">
    <w:charset w:val="02"/>
    <w:family w:val="roman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%1"/>
      <w:lvlJc w:val="left"/>
      <w:pPr>
        <w:ind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firstLine="0"/>
      </w:pPr>
    </w:lvl>
    <w:lvl w:ilvl="2">
      <w:start w:val="1"/>
      <w:numFmt w:val="none"/>
      <w:suff w:val="nothing"/>
      <w:lvlText w:val="%3"/>
      <w:lvlJc w:val="left"/>
      <w:pPr>
        <w:ind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ind w:firstLine="0"/>
      </w:pPr>
    </w:lvl>
    <w:lvl w:ilvl="4">
      <w:start w:val="1"/>
      <w:numFmt w:val="none"/>
      <w:suff w:val="nothing"/>
      <w:lvlText w:val="%5"/>
      <w:lvlJc w:val="left"/>
      <w:pPr>
        <w:ind w:firstLine="0"/>
      </w:pPr>
    </w:lvl>
    <w:lvl w:ilvl="5">
      <w:start w:val="1"/>
      <w:numFmt w:val="none"/>
      <w:suff w:val="nothing"/>
      <w:lvlText w:val="%6"/>
      <w:lvlJc w:val="left"/>
      <w:pPr>
        <w:ind w:firstLine="0"/>
      </w:pPr>
    </w:lvl>
    <w:lvl w:ilvl="6">
      <w:start w:val="1"/>
      <w:numFmt w:val="none"/>
      <w:suff w:val="nothing"/>
      <w:lvlText w:val="%7"/>
      <w:lvlJc w:val="left"/>
      <w:pPr>
        <w:ind w:firstLine="0"/>
      </w:pPr>
    </w:lvl>
    <w:lvl w:ilvl="7">
      <w:start w:val="1"/>
      <w:numFmt w:val="none"/>
      <w:suff w:val="nothing"/>
      <w:lvlText w:val="%8"/>
      <w:lvlJc w:val="left"/>
      <w:pPr>
        <w:ind w:firstLine="0"/>
      </w:pPr>
    </w:lvl>
    <w:lvl w:ilvl="8">
      <w:start w:val="1"/>
      <w:numFmt w:val="none"/>
      <w:suff w:val="nothing"/>
      <w:lvlText w:val="%9"/>
      <w:lvlJc w:val="left"/>
      <w:pPr>
        <w:ind w:firstLine="0"/>
      </w:pPr>
    </w:lvl>
  </w:abstractNum>
  <w:abstractNum w:abstractNumId="2">
    <w:nsid w:val="3362D548"/>
    <w:multiLevelType w:val="hybridMulti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trike w:val="0"/>
        <w:dstrike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3845DDD3"/>
    <w:multiLevelType w:val="hybridMulti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09"/>
  <w:noPunctuationKerning/>
  <w:characterSpacingControl w:val="doNotCompress"/>
  <w:compat>
    <w:doNotUseHTMLParagraphAutoSpacing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E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E2"/>
    <w:pPr>
      <w:widowControl/>
      <w:spacing w:after="200" w:line="276" w:lineRule="auto"/>
    </w:pPr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paragraph" w:styleId="Heading1">
    <w:name w:val="heading 1"/>
    <w:basedOn w:val="Heading"/>
    <w:pPr>
      <w:outlineLvl w:val="0"/>
    </w:pPr>
    <w:rPr>
      <w:rFonts w:ascii="Times New Roman" w:eastAsia="DejaVu Sans" w:hAnsi="Times New Roman" w:cs="Lohit Hindi"/>
      <w:b/>
      <w:bCs/>
      <w:sz w:val="48"/>
      <w:szCs w:val="48"/>
    </w:rPr>
  </w:style>
  <w:style w:type="paragraph" w:styleId="Heading2">
    <w:name w:val="heading 2"/>
    <w:basedOn w:val="Standard"/>
    <w:pPr>
      <w:keepNext/>
      <w:ind w:left="0" w:right="0" w:firstLine="0"/>
      <w:jc w:val="center"/>
      <w:outlineLvl w:val="1"/>
    </w:pPr>
    <w:rPr>
      <w:b/>
      <w:sz w:val="24"/>
    </w:rPr>
  </w:style>
  <w:style w:type="paragraph" w:styleId="Heading3">
    <w:name w:val="heading 3"/>
    <w:basedOn w:val="Heading"/>
    <w:pPr>
      <w:spacing w:before="140" w:after="120"/>
      <w:outlineLvl w:val="2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Textbody">
    <w:name w:val="Text body"/>
    <w:basedOn w:val="Standard"/>
    <w:pPr>
      <w:spacing w:before="0" w:after="120"/>
    </w:pPr>
  </w:style>
  <w:style w:type="paragraph" w:styleId="List">
    <w:name w:val="List"/>
    <w:basedOn w:val="Textbody"/>
    <w:rPr>
      <w:rFonts w:cs="Lohit Hind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pPr>
      <w:tabs>
        <w:tab w:val="center" w:pos="4153"/>
        <w:tab w:val="right" w:pos="8306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pPr>
      <w:spacing w:before="0" w:after="283"/>
      <w:ind w:left="567" w:right="567" w:firstLine="0"/>
    </w:pPr>
  </w:style>
  <w:style w:type="paragraph" w:styleId="Title">
    <w:name w:val="Title"/>
    <w:basedOn w:val="Heading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pPr>
      <w:spacing w:before="60" w:after="120"/>
      <w:jc w:val="center"/>
    </w:pPr>
    <w:rPr>
      <w:sz w:val="36"/>
      <w:szCs w:val="36"/>
    </w:rPr>
  </w:style>
  <w:style w:type="paragraph" w:customStyle="1" w:styleId="3">
    <w:name w:val="Основной текст3"/>
    <w:basedOn w:val="Standard"/>
    <w:pPr>
      <w:shd w:val="clear" w:color="auto" w:fill="FFFFFF"/>
      <w:spacing w:before="0" w:after="0" w:line="322" w:lineRule="exact"/>
      <w:jc w:val="center"/>
    </w:pPr>
    <w:rPr>
      <w:rFonts w:ascii="Calibri" w:hAnsi="Calibri"/>
      <w:spacing w:val="1"/>
      <w:sz w:val="22"/>
    </w:rPr>
  </w:style>
  <w:style w:type="paragraph" w:styleId="ListParagraph">
    <w:name w:val="List Paragraph"/>
    <w:basedOn w:val="Standard"/>
    <w:pPr>
      <w:spacing w:before="0" w:after="200"/>
      <w:ind w:left="720" w:right="0" w:firstLine="0"/>
    </w:pPr>
  </w:style>
  <w:style w:type="character" w:styleId="Hyperlink">
    <w:name w:val="Hyperlink"/>
    <w:rPr>
      <w:color w:val="000080"/>
      <w:u w:val="single"/>
      <w:lang w:val="" w:eastAsia="" w:bidi=""/>
    </w:rPr>
  </w:style>
  <w:style w:type="character" w:customStyle="1" w:styleId="NumberingSymbols">
    <w:name w:val="Numbering Symbols"/>
  </w:style>
  <w:style w:type="character" w:customStyle="1" w:styleId="a">
    <w:name w:val="Цветовое выделение для Текст"/>
    <w:rPr>
      <w:sz w:val="24"/>
    </w:rPr>
  </w:style>
  <w:style w:type="paragraph" w:customStyle="1" w:styleId="ConsPlusTitle">
    <w:name w:val="ConsPlusTitle"/>
    <w:qFormat/>
    <w:rsid w:val="002D2BF5"/>
    <w:rPr>
      <w:rFonts w:eastAsia="Times New Roman" w:asciiTheme="minorHAnsi" w:hAnsiTheme="minorHAnsi" w:cs="Calibri"/>
      <w:b/>
      <w:color w:val="00000A"/>
      <w:kern w:val="0"/>
      <w:sz w:val="22"/>
      <w:szCs w:val="20"/>
      <w:lang w:eastAsia="ru-RU" w:bidi="ar-SA"/>
    </w:rPr>
  </w:style>
  <w:style w:type="table" w:styleId="TableGrid">
    <w:name w:val="Table Grid"/>
    <w:basedOn w:val="TableNormal"/>
    <w:uiPriority w:val="39"/>
    <w:rsid w:val="005E3AE1"/>
    <w:pPr>
      <w:widowControl/>
    </w:pPr>
    <w:rPr>
      <w:rFonts w:asciiTheme="minorHAnsi" w:eastAsiaTheme="minorHAnsi" w:hAnsiTheme="minorHAnsi" w:cstheme="minorBidi"/>
      <w:kern w:val="0"/>
      <w:sz w:val="2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242</Words>
  <Characters>1893</Characters>
  <Application>Microsoft Office Word</Application>
  <DocSecurity>0</DocSecurity>
  <Lines>0</Lines>
  <Paragraphs>17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150</cp:revision>
  <cp:lastPrinted>2024-01-30T16:09:20Z</cp:lastPrinted>
  <dcterms:created xsi:type="dcterms:W3CDTF">2015-01-14T16:01:24Z</dcterms:created>
  <dcterms:modified xsi:type="dcterms:W3CDTF">2024-01-30T16:09:25Z</dcterms:modified>
</cp:coreProperties>
</file>