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50875" cy="8242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0" t="-40" r="-50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tabs>
          <w:tab w:val="clear" w:pos="709"/>
          <w:tab w:val="left" w:pos="0" w:leader="none"/>
        </w:tabs>
        <w:ind w:hanging="0" w:left="0" w:right="0"/>
        <w:jc w:val="center"/>
        <w:rPr>
          <w:rFonts w:ascii="Times New Roman" w:hAnsi="Times New Roman" w:cs="Times New Roman"/>
          <w:b/>
          <w:bCs/>
          <w:sz w:val="28"/>
          <w:lang w:bidi="zxx"/>
        </w:rPr>
      </w:pPr>
      <w:r>
        <w:rPr>
          <w:rFonts w:cs="Times New Roman" w:ascii="Times New Roman" w:hAnsi="Times New Roman"/>
          <w:b/>
          <w:bCs/>
          <w:sz w:val="28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709"/>
          <w:tab w:val="left" w:pos="0" w:leader="none"/>
        </w:tabs>
        <w:spacing w:lineRule="auto" w:line="360"/>
        <w:ind w:hanging="0" w:left="0" w:right="0"/>
        <w:jc w:val="center"/>
        <w:rPr>
          <w:rFonts w:ascii="Times New Roman" w:hAnsi="Times New Roman" w:cs="Times New Roman"/>
          <w:b/>
          <w:bCs/>
          <w:sz w:val="28"/>
          <w:lang w:bidi="zxx"/>
        </w:rPr>
      </w:pPr>
      <w:r>
        <w:rPr>
          <w:rFonts w:cs="Times New Roman" w:ascii="Times New Roman" w:hAnsi="Times New Roman"/>
          <w:b/>
          <w:bCs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360"/>
        <w:ind w:hanging="0" w:left="0" w:right="0"/>
        <w:jc w:val="center"/>
        <w:rPr>
          <w:rFonts w:ascii="Times New Roman" w:hAnsi="Times New Roman" w:cs="Times New Roman"/>
          <w:b/>
          <w:bCs/>
          <w:sz w:val="32"/>
          <w:szCs w:val="32"/>
          <w:lang w:bidi="zxx"/>
        </w:rPr>
      </w:pPr>
      <w:r>
        <w:rPr>
          <w:rFonts w:cs="Times New Roman" w:ascii="Times New Roman" w:hAnsi="Times New Roman"/>
          <w:b/>
          <w:bCs/>
          <w:sz w:val="32"/>
          <w:szCs w:val="32"/>
          <w:lang w:bidi="zxx"/>
        </w:rPr>
        <w:t>РАСПОРЯЖЕНИЕ</w:t>
      </w:r>
    </w:p>
    <w:p>
      <w:pPr>
        <w:pStyle w:val="Heading1"/>
        <w:numPr>
          <w:ilvl w:val="0"/>
          <w:numId w:val="0"/>
        </w:numPr>
        <w:spacing w:lineRule="auto" w:line="360"/>
        <w:ind w:hanging="0" w:left="0" w:right="0"/>
        <w:rPr/>
      </w:pPr>
      <w:r>
        <w:rPr>
          <w:rFonts w:cs="Times New Roman"/>
          <w:b/>
          <w:sz w:val="24"/>
        </w:rPr>
        <w:t>о</w:t>
      </w:r>
      <w:r>
        <w:rPr>
          <w:rFonts w:cs="Times New Roman"/>
          <w:b/>
          <w:sz w:val="24"/>
        </w:rPr>
        <w:t>т</w:t>
      </w:r>
      <w:r>
        <w:rPr>
          <w:rFonts w:cs="Times New Roman"/>
          <w:b/>
          <w:sz w:val="24"/>
          <w:lang w:val="en-US"/>
        </w:rPr>
        <w:t xml:space="preserve"> </w:t>
      </w:r>
      <w:r>
        <w:rPr>
          <w:rFonts w:cs="Times New Roman"/>
          <w:b/>
          <w:sz w:val="24"/>
          <w:lang w:val="en-US"/>
        </w:rPr>
        <w:t>07.05.2024</w:t>
      </w:r>
      <w:r>
        <w:rPr>
          <w:rFonts w:cs="Times New Roman"/>
          <w:b/>
          <w:sz w:val="24"/>
          <w:lang w:val="en-US"/>
        </w:rPr>
        <w:t xml:space="preserve"> </w:t>
      </w:r>
      <w:r>
        <w:rPr>
          <w:rFonts w:cs="Times New Roman"/>
          <w:sz w:val="24"/>
        </w:rPr>
        <w:tab/>
      </w:r>
      <w:r>
        <w:rPr>
          <w:rFonts w:cs="Times New Roman"/>
          <w:b/>
          <w:sz w:val="24"/>
        </w:rPr>
        <w:t xml:space="preserve">                                                                                                             № </w:t>
      </w:r>
      <w:r>
        <w:rPr>
          <w:rFonts w:eastAsia="Times New Roman" w:cs="Times New Roman"/>
          <w:b/>
          <w:color w:val="00000A"/>
          <w:kern w:val="0"/>
          <w:sz w:val="24"/>
          <w:szCs w:val="28"/>
          <w:lang w:val="ru-RU" w:eastAsia="ru-RU" w:bidi="ar-SA"/>
        </w:rPr>
        <w:t>134-р</w:t>
      </w:r>
    </w:p>
    <w:p>
      <w:pPr>
        <w:pStyle w:val="Normal"/>
        <w:spacing w:lineRule="auto" w:line="360"/>
        <w:jc w:val="center"/>
        <w:rPr>
          <w:rFonts w:eastAsia="Times New Roman" w:cs="Times New Roman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г.Кореновск</w:t>
      </w:r>
    </w:p>
    <w:p>
      <w:pPr>
        <w:pStyle w:val="Normal"/>
        <w:jc w:val="center"/>
        <w:rPr/>
      </w:pPr>
      <w:r>
        <w:rPr/>
      </w:r>
    </w:p>
    <w:p>
      <w:pPr>
        <w:pStyle w:val="Style24"/>
        <w:spacing w:before="64" w:after="0"/>
        <w:jc w:val="center"/>
        <w:rPr/>
      </w:pPr>
      <w:r>
        <w:rPr>
          <w:rStyle w:val="FontStyle75"/>
          <w:rFonts w:ascii="Times New Roman" w:hAnsi="Times New Roman"/>
          <w:sz w:val="28"/>
          <w:szCs w:val="28"/>
          <w:lang w:eastAsia="ru-RU" w:bidi="ar-SA"/>
        </w:rPr>
        <w:t>Об организации информационного взаимодействия в рамках</w:t>
      </w:r>
    </w:p>
    <w:p>
      <w:pPr>
        <w:pStyle w:val="Style24"/>
        <w:spacing w:before="64" w:after="0"/>
        <w:jc w:val="center"/>
        <w:rPr/>
      </w:pPr>
      <w:r>
        <w:rPr>
          <w:rStyle w:val="FontStyle75"/>
          <w:rFonts w:ascii="Times New Roman" w:hAnsi="Times New Roman"/>
          <w:sz w:val="28"/>
          <w:szCs w:val="28"/>
          <w:lang w:eastAsia="ru-RU" w:bidi="ar-SA"/>
        </w:rPr>
        <w:t>выполнения Соглашения о порядке мониторинга устранения</w:t>
      </w:r>
    </w:p>
    <w:p>
      <w:pPr>
        <w:pStyle w:val="Style24"/>
        <w:spacing w:before="64" w:after="0"/>
        <w:jc w:val="center"/>
        <w:rPr/>
      </w:pPr>
      <w:r>
        <w:rPr>
          <w:rStyle w:val="FontStyle75"/>
          <w:rFonts w:ascii="Times New Roman" w:hAnsi="Times New Roman"/>
          <w:sz w:val="28"/>
          <w:szCs w:val="28"/>
          <w:lang w:eastAsia="ru-RU" w:bidi="ar-SA"/>
        </w:rPr>
        <w:t xml:space="preserve"> </w:t>
      </w:r>
      <w:r>
        <w:rPr>
          <w:rStyle w:val="FontStyle75"/>
          <w:rFonts w:ascii="Times New Roman" w:hAnsi="Times New Roman"/>
          <w:sz w:val="28"/>
          <w:szCs w:val="28"/>
          <w:lang w:eastAsia="ru-RU" w:bidi="ar-SA"/>
        </w:rPr>
        <w:t>аварий и инцидентов на объектах ТЭК и ЖКХ</w:t>
      </w:r>
    </w:p>
    <w:p>
      <w:pPr>
        <w:pStyle w:val="Style19"/>
        <w:spacing w:lineRule="exact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9"/>
        <w:spacing w:lineRule="exact" w:line="297" w:before="57" w:after="0"/>
        <w:rPr/>
      </w:pPr>
      <w:r>
        <w:rPr/>
      </w:r>
    </w:p>
    <w:p>
      <w:pPr>
        <w:pStyle w:val="Style19"/>
        <w:spacing w:lineRule="auto" w:line="240"/>
        <w:rPr/>
      </w:pP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Во исполнение приказа министерства строительства и жилищно-коммунального хозяйства Российской Федерации от 04.06.2020 № 305/пр «Об утверждении Методических рекомендаций о порядке мониторинга и контроля устранения аварий и инцидентов на объектах жилищно-коммунального хозяйства»,   в   целях  выполнения  Соглашения   о  порядке  мониторинга устранения аварий и инцидентов на объектах ТЭК и ЖКХ от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 xml:space="preserve"> 25.08.2022 года (далее- Соглашение), заключенным с ГКУ КК «Агентство ТЭК»,   руководствуясь пунктом 7 частью 1 статьёй 8 Устава муниципального образования Кореновский район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>:</w:t>
      </w:r>
    </w:p>
    <w:p>
      <w:pPr>
        <w:pStyle w:val="Style29"/>
        <w:numPr>
          <w:ilvl w:val="0"/>
          <w:numId w:val="3"/>
        </w:numPr>
        <w:tabs>
          <w:tab w:val="clear" w:pos="709"/>
          <w:tab w:val="left" w:pos="805" w:leader="none"/>
          <w:tab w:val="left" w:pos="3164" w:leader="none"/>
          <w:tab w:val="left" w:pos="4178" w:leader="none"/>
          <w:tab w:val="left" w:pos="7538" w:leader="none"/>
        </w:tabs>
        <w:spacing w:lineRule="auto" w:line="240"/>
        <w:rPr/>
      </w:pP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Начальнику отдела жилищно-коммунального хозяйства, транспорта и связи МО Кореновский район Нейжмак В.Н. организовать информационное взаимодействие оперативно-диспетчерских служб предприятий и организаций ТЭК и ЖКХ  с ЕДДС МКУ МО Кореновский район в части своевременной передачи оперативной информации о плановых ограничениях предоставления коммунальных услуг населению, о произошедших инцидентах и аварийных ситуациях на подведомственных им объектах ТЭК и ЖКХ, а также ходе их устранения.</w:t>
      </w:r>
    </w:p>
    <w:p>
      <w:pPr>
        <w:pStyle w:val="Style29"/>
        <w:numPr>
          <w:ilvl w:val="0"/>
          <w:numId w:val="2"/>
        </w:numPr>
        <w:tabs>
          <w:tab w:val="clear" w:pos="709"/>
          <w:tab w:val="left" w:pos="805" w:leader="none"/>
          <w:tab w:val="left" w:pos="919" w:leader="underscore"/>
        </w:tabs>
        <w:spacing w:lineRule="auto" w:line="240"/>
        <w:rPr/>
      </w:pP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 xml:space="preserve">Начальнику отдела по ГО и ЧС, взаимодействию с правоохранительными органами </w:t>
      </w:r>
      <w:r>
        <w:rPr>
          <w:rStyle w:val="FontStyle30"/>
          <w:rFonts w:eastAsia="NSimSun"/>
          <w:szCs w:val="28"/>
          <w:lang w:eastAsia="ru-RU" w:bidi="ar-SA"/>
        </w:rPr>
        <w:t xml:space="preserve">и межнациональным отношениям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 xml:space="preserve">администрации муниципального образования Кореновский район Головину А.В. организовать прием и передачу </w:t>
      </w:r>
      <w:r>
        <w:rPr>
          <w:rStyle w:val="FontStyle20"/>
          <w:sz w:val="28"/>
          <w:szCs w:val="28"/>
          <w:lang w:eastAsia="ru-RU" w:bidi="ar-SA"/>
        </w:rPr>
        <w:t xml:space="preserve"> ЕДДС МКУ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МО</w:t>
      </w:r>
      <w:r>
        <w:rPr>
          <w:rStyle w:val="FontStyle20"/>
          <w:sz w:val="28"/>
          <w:szCs w:val="28"/>
          <w:lang w:eastAsia="ru-RU" w:bidi="ar-SA"/>
        </w:rPr>
        <w:t xml:space="preserve"> Кореновский район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в оперативно-диспетчерскую службу ГКУ КК «Агентство ТЭК» в соответствии с условиями Соглашения оперативной информации о плановых ограничениях предоставления коммунальных услуг, о произошедших инцидентах и аварийных ситуациях на объектах ТЭК и ЖКХ МО, а также о введенных режимах чрезвычайной ситуации на территории МО Кореновский район и ходе их устранения.</w:t>
      </w:r>
    </w:p>
    <w:p>
      <w:pPr>
        <w:pStyle w:val="Style29"/>
        <w:numPr>
          <w:ilvl w:val="0"/>
          <w:numId w:val="2"/>
        </w:numPr>
        <w:tabs>
          <w:tab w:val="clear" w:pos="709"/>
          <w:tab w:val="left" w:pos="805" w:leader="none"/>
          <w:tab w:val="left" w:pos="919" w:leader="underscore"/>
        </w:tabs>
        <w:spacing w:lineRule="auto" w:line="240"/>
        <w:rPr/>
      </w:pP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yle29"/>
        <w:tabs>
          <w:tab w:val="clear" w:pos="709"/>
          <w:tab w:val="left" w:pos="805" w:leader="none"/>
        </w:tabs>
        <w:spacing w:lineRule="auto" w:line="240"/>
        <w:ind w:firstLine="500"/>
        <w:rPr/>
      </w:pP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4.</w:t>
        <w:tab/>
        <w:t xml:space="preserve">Контроль 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за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 xml:space="preserve"> выполнением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 xml:space="preserve"> настоящего 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 xml:space="preserve">распоряжения 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возложить 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 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 xml:space="preserve"> на    заместителя   главы  муниципального  образования Кореновский район 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     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Манько А.П. .</w:t>
      </w:r>
    </w:p>
    <w:p>
      <w:pPr>
        <w:pStyle w:val="Style29"/>
        <w:tabs>
          <w:tab w:val="clear" w:pos="709"/>
          <w:tab w:val="left" w:pos="974" w:leader="none"/>
        </w:tabs>
        <w:spacing w:lineRule="auto" w:line="240"/>
        <w:rPr/>
      </w:pP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5. Распоряжение вступает в силу со дня его подписания.</w:t>
      </w:r>
    </w:p>
    <w:p>
      <w:pPr>
        <w:pStyle w:val="Style51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51"/>
        <w:spacing w:lineRule="auto" w:line="240"/>
        <w:rPr/>
      </w:pPr>
      <w:r>
        <w:rPr/>
      </w:r>
    </w:p>
    <w:p>
      <w:pPr>
        <w:pStyle w:val="Style51"/>
        <w:spacing w:lineRule="auto" w:line="240"/>
        <w:rPr/>
      </w:pP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Глава</w:t>
      </w:r>
    </w:p>
    <w:p>
      <w:pPr>
        <w:pStyle w:val="Style51"/>
        <w:spacing w:lineRule="auto" w:line="240"/>
        <w:rPr/>
      </w:pP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>М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униципального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образования</w:t>
      </w:r>
    </w:p>
    <w:p>
      <w:pPr>
        <w:pStyle w:val="Style51"/>
        <w:spacing w:lineRule="auto" w:line="240"/>
        <w:rPr/>
      </w:pP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Кор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>е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>новский</w:t>
      </w:r>
      <w:r>
        <w:rPr>
          <w:rStyle w:val="FontStyle74"/>
          <w:rFonts w:eastAsia="NSimSun" w:ascii="Times New Roman" w:hAnsi="Times New Roman"/>
          <w:sz w:val="28"/>
          <w:szCs w:val="28"/>
          <w:lang w:eastAsia="ru-RU" w:bidi="ar-SA"/>
        </w:rPr>
        <w:t xml:space="preserve">  </w:t>
      </w:r>
      <w:r>
        <w:rPr>
          <w:rStyle w:val="FontStyle74"/>
          <w:rFonts w:ascii="Times New Roman" w:hAnsi="Times New Roman"/>
          <w:sz w:val="28"/>
          <w:szCs w:val="28"/>
          <w:lang w:eastAsia="ru-RU" w:bidi="ar-SA"/>
        </w:rPr>
        <w:t xml:space="preserve">район                                                                        С.А.Голобородько                     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character" w:styleId="Style12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FontStyle74">
    <w:name w:val="Font Style74"/>
    <w:basedOn w:val="DefaultParagraphFont"/>
    <w:qFormat/>
    <w:rPr>
      <w:rFonts w:eastAsia="Times New Roman"/>
      <w:sz w:val="26"/>
      <w:szCs w:val="26"/>
    </w:rPr>
  </w:style>
  <w:style w:type="character" w:styleId="FontStyle75">
    <w:name w:val="Font Style75"/>
    <w:basedOn w:val="DefaultParagraphFont"/>
    <w:qFormat/>
    <w:rPr>
      <w:rFonts w:eastAsia="Times New Roman"/>
      <w:b/>
      <w:bCs/>
      <w:sz w:val="26"/>
      <w:szCs w:val="26"/>
    </w:rPr>
  </w:style>
  <w:style w:type="character" w:styleId="2">
    <w:name w:val="Основной шрифт абзаца2"/>
    <w:qFormat/>
    <w:rPr/>
  </w:style>
  <w:style w:type="character" w:styleId="FontStyle20">
    <w:name w:val="Font Style20"/>
    <w:basedOn w:val="2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30">
    <w:name w:val="Font Style30"/>
    <w:basedOn w:val="Style12"/>
    <w:qFormat/>
    <w:rPr>
      <w:rFonts w:ascii="Times New Roman" w:hAnsi="Times New Roman" w:eastAsia="Times New Roman" w:cs="Times New Roman"/>
      <w:spacing w:val="-10"/>
      <w:sz w:val="28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Style13">
    <w:name w:val="Текст выноски Знак"/>
    <w:basedOn w:val="Style12"/>
    <w:qFormat/>
    <w:rPr>
      <w:rFonts w:ascii="Segoe UI" w:hAnsi="Segoe UI"/>
      <w:sz w:val="18"/>
      <w:szCs w:val="16"/>
    </w:rPr>
  </w:style>
  <w:style w:type="paragraph" w:styleId="Style14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5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Style16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17">
    <w:name w:val="Указатель"/>
    <w:basedOn w:val="Normal"/>
    <w:qFormat/>
    <w:pPr>
      <w:suppressLineNumbers/>
      <w:suppressAutoHyphens w:val="true"/>
    </w:pPr>
    <w:rPr/>
  </w:style>
  <w:style w:type="paragraph" w:styleId="Style51">
    <w:name w:val="Style5"/>
    <w:basedOn w:val="Normal"/>
    <w:qFormat/>
    <w:pPr>
      <w:suppressAutoHyphens w:val="true"/>
      <w:spacing w:lineRule="exact" w:line="297"/>
      <w:jc w:val="both"/>
    </w:pPr>
    <w:rPr/>
  </w:style>
  <w:style w:type="paragraph" w:styleId="Style33">
    <w:name w:val="Style33"/>
    <w:basedOn w:val="Normal"/>
    <w:qFormat/>
    <w:pPr>
      <w:suppressAutoHyphens w:val="true"/>
    </w:pPr>
    <w:rPr/>
  </w:style>
  <w:style w:type="paragraph" w:styleId="Style38">
    <w:name w:val="Style38"/>
    <w:basedOn w:val="Normal"/>
    <w:qFormat/>
    <w:pPr>
      <w:suppressAutoHyphens w:val="true"/>
    </w:pPr>
    <w:rPr/>
  </w:style>
  <w:style w:type="paragraph" w:styleId="Style41">
    <w:name w:val="Style41"/>
    <w:basedOn w:val="Normal"/>
    <w:qFormat/>
    <w:pPr>
      <w:suppressAutoHyphens w:val="true"/>
    </w:pPr>
    <w:rPr/>
  </w:style>
  <w:style w:type="paragraph" w:styleId="Style39">
    <w:name w:val="Style39"/>
    <w:basedOn w:val="Normal"/>
    <w:qFormat/>
    <w:pPr>
      <w:suppressAutoHyphens w:val="true"/>
    </w:pPr>
    <w:rPr/>
  </w:style>
  <w:style w:type="paragraph" w:styleId="Style24">
    <w:name w:val="Style24"/>
    <w:basedOn w:val="Normal"/>
    <w:qFormat/>
    <w:pPr>
      <w:suppressAutoHyphens w:val="true"/>
      <w:spacing w:lineRule="exact" w:line="297"/>
      <w:jc w:val="both"/>
    </w:pPr>
    <w:rPr/>
  </w:style>
  <w:style w:type="paragraph" w:styleId="Style19">
    <w:name w:val="Style19"/>
    <w:basedOn w:val="Normal"/>
    <w:qFormat/>
    <w:pPr>
      <w:suppressAutoHyphens w:val="true"/>
      <w:spacing w:lineRule="exact" w:line="301"/>
      <w:ind w:firstLine="500"/>
      <w:jc w:val="both"/>
    </w:pPr>
    <w:rPr/>
  </w:style>
  <w:style w:type="paragraph" w:styleId="Style29">
    <w:name w:val="Style29"/>
    <w:basedOn w:val="Normal"/>
    <w:qFormat/>
    <w:pPr>
      <w:suppressAutoHyphens w:val="true"/>
      <w:spacing w:lineRule="exact" w:line="300"/>
      <w:ind w:firstLine="507"/>
      <w:jc w:val="both"/>
    </w:pPr>
    <w:rPr/>
  </w:style>
  <w:style w:type="paragraph" w:styleId="Style18">
    <w:name w:val="Текст выноски"/>
    <w:basedOn w:val="Style14"/>
    <w:qFormat/>
    <w:pPr>
      <w:suppressAutoHyphens w:val="true"/>
    </w:pPr>
    <w:rPr>
      <w:rFonts w:ascii="Segoe UI" w:hAnsi="Segoe UI"/>
      <w:sz w:val="18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</TotalTime>
  <Application>LibreOffice/7.6.3.2$Windows_X86_64 LibreOffice_project/29d686fea9f6705b262d369fede658f824154cc0</Application>
  <AppVersion>15.0000</AppVersion>
  <Pages>2</Pages>
  <Words>300</Words>
  <Characters>2167</Characters>
  <CharactersWithSpaces>2694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2024-04-25T10:41:00Z</dcterms:created>
  <dc:creator/>
  <dc:description/>
  <dc:language>ru-RU</dc:language>
  <cp:lastModifiedBy/>
  <cp:lastPrinted>2024-05-15T16:23:23Z</cp:lastPrinted>
  <dcterms:modified xsi:type="dcterms:W3CDTF">2024-05-15T16:23:34Z</dcterms:modified>
  <cp:revision>19</cp:revision>
  <dc:subject/>
  <dc:title/>
</cp:coreProperties>
</file>