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spacing w:lineRule="auto" w:line="240" w:before="0" w:after="0"/>
        <w:jc w:val="center"/>
        <w:rPr>
          <w:rFonts w:eastAsia="Calibri" w:eastAsiaTheme="minorHAnsi"/>
          <w:lang w:val="en-US" w:eastAsia="en-US"/>
        </w:rPr>
      </w:pPr>
      <w:r>
        <w:rPr/>
        <w:drawing>
          <wp:inline distT="0" distB="0" distL="0" distR="0">
            <wp:extent cx="695325" cy="8382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0" w:leader="none"/>
        </w:tabs>
        <w:suppressAutoHyphens w:val="false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/>
          <w:bCs/>
          <w:sz w:val="28"/>
          <w:szCs w:val="28"/>
          <w:lang w:eastAsia="en-US"/>
        </w:rPr>
        <w:t>АДМИНИСТРАЦИЯ  МУНИЦИПАЛЬНОГО  ОБРАЗОВАНИЯ</w:t>
      </w:r>
    </w:p>
    <w:p>
      <w:pPr>
        <w:pStyle w:val="Normal"/>
        <w:tabs>
          <w:tab w:val="clear" w:pos="708"/>
          <w:tab w:val="left" w:pos="0" w:leader="none"/>
        </w:tabs>
        <w:suppressAutoHyphens w:val="false"/>
        <w:spacing w:lineRule="auto" w:line="36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/>
          <w:bCs/>
          <w:sz w:val="28"/>
          <w:szCs w:val="28"/>
          <w:lang w:eastAsia="en-US"/>
        </w:rPr>
        <w:t>КОРЕНОВСКИЙ  РАЙОН</w:t>
      </w:r>
    </w:p>
    <w:p>
      <w:pPr>
        <w:pStyle w:val="Normal"/>
        <w:tabs>
          <w:tab w:val="clear" w:pos="708"/>
          <w:tab w:val="left" w:pos="0" w:leader="none"/>
        </w:tabs>
        <w:suppressAutoHyphens w:val="false"/>
        <w:spacing w:lineRule="auto" w:line="360" w:before="108" w:after="108"/>
        <w:jc w:val="center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/>
          <w:bCs/>
          <w:sz w:val="28"/>
          <w:szCs w:val="28"/>
          <w:lang w:eastAsia="en-US"/>
        </w:rPr>
        <w:t>ПОСТАНОВЛЕНИЕ</w:t>
      </w:r>
    </w:p>
    <w:p>
      <w:pPr>
        <w:pStyle w:val="Normal"/>
        <w:suppressAutoHyphens w:val="false"/>
        <w:spacing w:lineRule="auto" w:line="360" w:before="0" w:after="0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/>
          <w:bCs/>
          <w:sz w:val="28"/>
          <w:szCs w:val="28"/>
          <w:lang w:eastAsia="en-US"/>
        </w:rPr>
        <w:t>от 15.05.2024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cs="Times New Roman" w:ascii="Times New Roman" w:hAnsi="Times New Roman" w:eastAsiaTheme="minorHAnsi"/>
          <w:b/>
          <w:bCs/>
          <w:sz w:val="28"/>
          <w:szCs w:val="28"/>
          <w:lang w:eastAsia="en-US"/>
        </w:rPr>
        <w:t xml:space="preserve">    № 486 </w:t>
      </w:r>
    </w:p>
    <w:p>
      <w:pPr>
        <w:pStyle w:val="Normal"/>
        <w:tabs>
          <w:tab w:val="clear" w:pos="708"/>
          <w:tab w:val="left" w:pos="0" w:leader="none"/>
        </w:tabs>
        <w:suppressAutoHyphens w:val="false"/>
        <w:spacing w:lineRule="auto" w:line="36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г. Кореновск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shd w:fill="FFFFFF" w:val="clear"/>
        </w:rPr>
        <w:t>О внесении изменений в постановление администрации муниципального образования Кореновский район от 31 октября 2019 года № 1468 «Об утверждении муниципальной программы муниципального образования Кореновский район «Развитие образования» на 2020-2026 годы»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 постановлением администрации муниципального образования Кореновский район от 2ноября 2023 года № 1921 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район п о с т а н о в л я е т:</w:t>
      </w:r>
    </w:p>
    <w:p>
      <w:pPr>
        <w:pStyle w:val="Normal"/>
        <w:suppressAutoHyphens w:val="false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 Внести в постановление администрации муниципального образования Кореновский район от 31 октября 2019 года № 1468 «Об утверждении муниципальной программы муниципального образования Кореновский район «Развитие образования» на 2020-2026 годы» изменения, изложив приложение к постановлению в новой редакции (прилагается).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2. Признать утратившим силу постановления администрации муниципального образования Кореновский район от 25марта2024 года№305 </w:t>
      </w:r>
      <w:bookmarkStart w:id="0" w:name="_GoBack1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«О внесении изменений в постановление администрации муниципального образования Кореновский район от 31 октября 2019 года №1468 «Об утверждении муниципальной программы муниципального образования Кореновский район «Развитие образования» на 2020-2026 годы».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Управлению службы протокола и информационной политики администрации муниципального образования Кореновский район обеспечить размещение настоящего постановления </w:t>
      </w:r>
      <w:r>
        <w:rPr>
          <w:rFonts w:cs="Times New Roman" w:ascii="Times New Roman" w:hAnsi="Times New Roman"/>
          <w:color w:val="000000"/>
          <w:sz w:val="28"/>
          <w:szCs w:val="28"/>
        </w:rPr>
        <w:t>на официальном сайте администрации муниципального образования Кореновский район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в </w:t>
      </w:r>
      <w:r>
        <w:rPr>
          <w:rFonts w:cs="Times New Roman" w:ascii="Times New Roman" w:hAnsi="Times New Roman"/>
          <w:color w:val="000000"/>
          <w:sz w:val="28"/>
          <w:szCs w:val="28"/>
        </w:rPr>
        <w:t>информационно - телекоммуникационной сети «Интернет».</w:t>
      </w:r>
    </w:p>
    <w:p>
      <w:pPr>
        <w:pStyle w:val="Normal"/>
        <w:suppressAutoHyphens w:val="false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 Постановление вступает в силу со дня его подписания.</w:t>
      </w:r>
    </w:p>
    <w:p>
      <w:pPr>
        <w:pStyle w:val="NormalWeb"/>
        <w:spacing w:beforeAutospacing="0" w:before="0" w:afterAutospacing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</w:t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sectPr>
          <w:type w:val="nextPage"/>
          <w:pgSz w:w="11906" w:h="16838"/>
          <w:pgMar w:left="1701" w:right="567" w:gutter="0" w:header="0" w:top="766" w:footer="0" w:bottom="1134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200"/>
        <w:ind w:right="-1" w:hanging="0"/>
        <w:contextualSpacing/>
        <w:rPr/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С.А. Голобородько</w:t>
      </w:r>
    </w:p>
    <w:tbl>
      <w:tblPr>
        <w:tblW w:w="9750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65"/>
        <w:gridCol w:w="4484"/>
      </w:tblGrid>
      <w:tr>
        <w:trPr/>
        <w:tc>
          <w:tcPr>
            <w:tcW w:w="526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48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zh-CN"/>
              </w:rPr>
              <w:t>к постановлению администрации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zh-CN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zh-CN"/>
              </w:rPr>
              <w:t>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zh-CN"/>
              </w:rPr>
              <w:t>от</w:t>
            </w: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val="en-US" w:eastAsia="zh-CN"/>
              </w:rPr>
              <w:t>15.</w:t>
            </w: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val="ru-RU" w:eastAsia="zh-CN"/>
              </w:rPr>
              <w:t>05.2024</w:t>
            </w: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zh-CN"/>
              </w:rPr>
              <w:t xml:space="preserve">№  </w:t>
            </w: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zh-CN"/>
              </w:rPr>
              <w:t>486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4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8"/>
                <w:szCs w:val="28"/>
                <w:lang w:eastAsia="zh-CN"/>
              </w:rPr>
              <w:t>ПРИЛОЖЕНИЕ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exact" w:line="317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  <w:t>УТВЕРЖДЕНО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exact" w:line="317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exact" w:line="322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exact" w:line="322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8"/>
                <w:szCs w:val="28"/>
                <w:lang w:eastAsia="zh-CN"/>
              </w:rPr>
              <w:t>Кореновский район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exact" w:line="317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pacing w:val="-2"/>
                <w:sz w:val="28"/>
                <w:szCs w:val="28"/>
                <w:lang w:eastAsia="zh-CN"/>
              </w:rPr>
              <w:t xml:space="preserve">от 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pacing w:val="-2"/>
                <w:sz w:val="28"/>
                <w:szCs w:val="28"/>
                <w:lang w:eastAsia="zh-CN"/>
              </w:rPr>
              <w:t>15.05.2024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pacing w:val="-2"/>
                <w:sz w:val="28"/>
                <w:szCs w:val="28"/>
                <w:lang w:eastAsia="zh-CN"/>
              </w:rPr>
              <w:t xml:space="preserve">    № 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pacing w:val="-2"/>
                <w:sz w:val="28"/>
                <w:szCs w:val="28"/>
                <w:lang w:eastAsia="zh-CN"/>
              </w:rPr>
              <w:t>486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pacing w:val="-2"/>
                <w:sz w:val="28"/>
                <w:szCs w:val="28"/>
                <w:lang w:eastAsia="zh-CN"/>
              </w:rPr>
              <w:t xml:space="preserve">      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exact" w:line="317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4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8"/>
                <w:szCs w:val="28"/>
                <w:lang w:eastAsia="zh-CN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right="-284" w:hanging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-284" w:hanging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ПАСПОРТ</w:t>
      </w:r>
    </w:p>
    <w:p>
      <w:pPr>
        <w:pStyle w:val="Normal"/>
        <w:suppressAutoHyphens w:val="true"/>
        <w:spacing w:lineRule="auto" w:line="240" w:before="0" w:after="0"/>
        <w:ind w:right="-284" w:hanging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муниципальной программы</w:t>
      </w:r>
    </w:p>
    <w:p>
      <w:pPr>
        <w:pStyle w:val="Normal"/>
        <w:suppressAutoHyphens w:val="true"/>
        <w:spacing w:lineRule="auto" w:line="240" w:before="0" w:after="0"/>
        <w:ind w:right="-284" w:hanging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  <w:lang w:eastAsia="ru-RU" w:bidi="hi-IN"/>
        </w:rPr>
        <w:t>«Развитие образования» на 2020-2026 годы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4"/>
          <w:lang w:eastAsia="ru-RU"/>
        </w:rPr>
        <w:t>»</w:t>
      </w:r>
    </w:p>
    <w:p>
      <w:pPr>
        <w:pStyle w:val="Normal"/>
        <w:suppressAutoHyphens w:val="true"/>
        <w:spacing w:lineRule="auto" w:line="240" w:before="0" w:after="0"/>
        <w:ind w:right="-284" w:hanging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64"/>
        <w:gridCol w:w="5380"/>
      </w:tblGrid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Координаторы подпрограмм муниципальной 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Участники муниципальной 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образовательные организации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Подпрограммы муниципальной 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«Организация образовательного процесса»;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«Обеспечение образовательного процесса»;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«Меры социальной поддержки»;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«Обеспечение реализации муниципальной программы и прочие мероприятия»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Цель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О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беспечение высоко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го качества образования в соответствии с меняющимися запросами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населения и перспективными задачами развития общества и экономики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Задачи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обеспечение выполнение муниципальных услуг в области образования;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реализация механизмов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создание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создание благоприятных и безопасных условий для полноценного отдыха детей в организациях отдыха и оздоровления детей;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проведение комплекса мероприятий по пожарной антитеррористической безопасности, организации подвоза учащихся;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lang w:val="ru-RU" w:bidi="ar-SA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социальную поддержку детям, оставшимся без попечения родителей и опекунам;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-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работников.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Доля выполнения муниципальных услуг в области образования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Этапы и сроки реализации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2020-2026 годы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Объемы бюджетных ассигнований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Объем финансирования мероприятий программы составит: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общий объем – 9 179 698,7тысяч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 xml:space="preserve">за счет средств краевого бюджета –                      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6 038 108,3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715 209,0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677 479,4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811 094,4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– 861 121,1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1 059 050,1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–938 011,8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976 142,5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федерального бюджета –            661 835,4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996,3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69 491,8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 xml:space="preserve">2022 год – 129 828,0 тысяч рублей 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–67 142,6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253 615,7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– 69 886,0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70 875,0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бюджета муниципального образования Кореновский район —2 477 483,00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329 597,1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384 324,2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470 863,7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– 465 907,3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479 758,8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– 340 584,9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6 447,1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внебюджетных источников – 2 259,2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2 259,2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 xml:space="preserve">2022 год – 00,0 тысяч рублей 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00,0 тысяч рублей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Контроль за выполнением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администрация муниципального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образования Кореновский район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 xml:space="preserve">В муниципальном образовании Кореновский район функционируют 46 учреждений общего, дополнительного и дошкольного образования, в них обучается и воспитывается 17 222 ребенка. </w:t>
      </w:r>
      <w:r>
        <w:rPr>
          <w:rFonts w:eastAsia="Calibri" w:cs="Times New Roman" w:ascii="Times New Roman" w:hAnsi="Times New Roman"/>
          <w:sz w:val="28"/>
        </w:rPr>
        <w:t>В 2019 году в Кореновском районе 8399 детей от 0 года до 7 лет, из них в возрасте от 1 до 6 лет- 6 322 ребенка. Функционирует 22 дошкольных образовательных учреждений и одна дошкольная группа. Из них: 22 муниципальное дошкольное образовательное учреждение, в них мест – 3614. Ведомственных детских садов -1, в нихмест- 53, детей- 25, одна дошкольная группа в МОБУ ООШ № 10 МО Кореновский район -30 мест.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/>
          <w:sz w:val="28"/>
        </w:rPr>
        <w:tab/>
        <w:t>О</w:t>
      </w:r>
      <w:r>
        <w:rPr>
          <w:rFonts w:eastAsia="Calibri" w:cs="Times New Roman" w:ascii="Times New Roman" w:hAnsi="Times New Roman"/>
          <w:sz w:val="28"/>
          <w:szCs w:val="28"/>
        </w:rPr>
        <w:t xml:space="preserve">беспеченность дошкольными образовательными учреждениями по итогам 2018 года составила 494,4 место на 1000 детей в возрасте 1-6 лет. Охват детей в возрасте 1-6 лет дошкольными образовательными учреждениями в районе по итогам 2018 года составил 64,3%. 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 xml:space="preserve"> 31 декабря 2015 года актуальная очередь (от 3 до 7 лет) полностью ликвидирована, однако в районе сохраняется дефицит мест в детских садах.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zh-CN"/>
        </w:rPr>
        <w:t xml:space="preserve">Согласно статистическим данным число детей в районе в возрасте от 0 до 7 лет стремительно растет, переуплотнение мест в детских садах достигает 15%. 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В общей очереди детей от 0 до 7 лет на услуги дошкольного образования находятся 750 человек. Очередь продолжает расти в связи с дислокации воинских частей.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В муниципальном образовании Кореновский район представлены всех уровни общего и профессионального образования. Действующая сеть образовательных организаций в основном удовлетворяет потребности жителей в образовательных услугах.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Определяющее влияние на развитие дошкольного, общего и дополнительного образования оказывают демографические тенденции и миграционные процессы.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В целях реализации Указа Президента Российской Федерации от 7 мая 2012 года № 599 «О мерах по реализации государственной политики в области образования и науки» для обеспечения детей доступным дошкольным образованием в крае разработан план мероприятий («дорожная карта») «Изменения в дошкольном образовании, направленные на повышение эффективности и качества услуг в сфере образования на 2018-2022 годы.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 последние годы в муниципальном образовании Кореновский район активно создавались новые места для детей дошкольного возраста: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9353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100"/>
        <w:gridCol w:w="1418"/>
        <w:gridCol w:w="1417"/>
        <w:gridCol w:w="1417"/>
      </w:tblGrid>
      <w:tr>
        <w:trPr/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Наименование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Количество дополнительно созданных мест для детей дошкольного возраста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Сеть дополнительных дошкольных мест расширялась за счет их реконструкции и капитального ремонта, а также за счет развития вариативныхформ дошкольного образования (групп кратковременного пребывания и групп семейного воспитания).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Вместе с тем средний уровень заработной платы педагогических работников дошкольных образовательных организаций составляет только 93% от уровня средней заработной платы в сфере общего образования.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Демографические процессы активно влияют на контингент школьников. За последние пять лет число обучающихся по образовательным программам начального общего, основного общего и среднего общего образования в дневных общеобразовательных организациях выросла на 340 человек.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9353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100"/>
        <w:gridCol w:w="1418"/>
        <w:gridCol w:w="1447"/>
        <w:gridCol w:w="1387"/>
      </w:tblGrid>
      <w:tr>
        <w:trPr/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Численность обучающихся в дневных общеобразовательных организациях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8557</w:t>
            </w:r>
          </w:p>
        </w:tc>
        <w:tc>
          <w:tcPr>
            <w:tcW w:w="14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8840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9408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 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Вместе с тем в связи с низкими темпами строительства общеобразовательных школ наметилась устойчивая тенденция увеличения доли обучающихся, занимающихся во вторую смену.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 </w:t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Доля обучающихся, занимающихся во вторую смену,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11,5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11,8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12,1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В школах района с 2010 года поэтапно вводятся федеральные государственные образовательные стандарты общего образования.  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муниципальном образовании Кореновский район 68 % общеобразовательных организаций расположены в сельской местности. Более 900 учащихся нуждаются в ежедневном подвозе на учебные занятия. В настоящее время парк школьных автобусов представлен 13 единицами автотранспорта. Парк школьных автобусов ежегодно обновляется.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Количество приобретенных автобус-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4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Вместе с тем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3 автобуса.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 xml:space="preserve">В районе реализуются адаптивные образовательные программы для детейс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ограниченными возможностями здоровья.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высокий уровень психолого-медико-социального сопровождения.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оборудованиядля пищеблоков, что заметно улучшило организацию и повысило качество питания обучающихся. В настоящее время горячим питанием охвачены все школьники (100 %).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Капитально отремонтировано 4 спортивных зала общеобразовательных организаций, что составило 50 %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 </w:t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bookmarkStart w:id="1" w:name="OLE_LINK12"/>
            <w:bookmarkStart w:id="2" w:name="OLE_LINK22"/>
            <w:bookmarkEnd w:id="1"/>
            <w:bookmarkEnd w:id="2"/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Наименование показателя 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До настоящего времени в 8 школах необходимо выполнить капитальный ремонт спортивных залов. В школе № 27 спортивный зал отсутствует.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 последние годы в муниципальном образовании Кореновский район большое внимание уделяется организации дополнительного образования детей. С 2016 года в районе развивается новое направление – робототехника.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Вместе с тем не все виды деятельности в организациях дополнительного образования развиваются активно. Требует укрепления учебно-материальной базы организаций дополнительного образования по спортивным, техническим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направлениям, детскому и юношескому туризму, экологическому образованию детей.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В связи с опережающими темпами роста контингента школьников по сравнению с увеличением количества мест в организациях дополнительного образования, оснащенных современным оборудованием и укомплектованных квалифицированными педагогами, наметилась устойчивая тенденция снижения охвата школьников организациями дополнительного образования.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Доля школьников, охваченных системой дополнительного образования,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50,5 %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51,4 %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52,8 %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района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Приоритетом развития системы профессионального образования в муниципальном образование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района.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Для этого будет обеспечено взаимовыгодное сотрудничество образовательных учреждений и работодателей путем разработки гибких учебных планов, создания мест для практики студентов, внедрения системы профессиональной сертификации специалистов объединениями работодателей, формирования налоговых преференций для предприятий, сотрудничающих с образовательными организациями.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Основой эффективного контракта в профессиональном образовании должен стать конкурентоспособный уровень заработной платы преподавателей. С этой целью необходимо довести к 2022 году уровень средней заработной платы преподавателей образовательных учреждений до 100 процентов от средней заработной платы в экономике Краснодарского края.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Все большее значение будет приобретать система информирования обучающихся, их семей, образовательных учреждений об уровне заработной платы, карьерных перспективах в различных секторах экономики. Этому будут способствовать мероприятия, направленные на популяризацию системы профессионального образования, повышение привлекательности рабочих квалификаций и квалификаций специалистов среднего звена среди населения, а также открытость каждой образовательной организации. Будут реализованы мероприятия, направленные на обеспечение доступности профессионального образования для всех граждан, независимо от их социально- экономического положения и состояния здоровья, создание условий для дистанционного и инклюзивного образования.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Для инновационного развития региональной экономики необходима государственная поддержка всех его этапов: от генерации новых знаний до внедрения в экономический оборот новых товаров, работ и услуг.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 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 Цели, задачи и целевые показатели, конкретные сроки и этапы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реализации муниципальной 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 xml:space="preserve">2.1. Основной целью муниципальной программы является: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>обеспечение условий для эффективного развития образования в муниципальном образовании Кореновский район, направленного на формирование конкурентоспособного потенциала.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2.2. Для достижения указанной цели необходимо решить следующие основных задач: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обеспечение выполнение муниципальных услуг в области образования;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реализация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создание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создание благоприятных и безопасных условий для полноценного отдыха детей в организациях отдыха и оздоровления детей;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проведение комплекса мероприятий по пожарной антитеррористической безопасности, организации подвоза учащихся;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оказать социальную поддержку детям, оставшимся без попечения родителей и опекунам;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2.3. Сроки реализации муниципальной программы: 2020– 2026 годы.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2.4. Целевые показатели муниципальной программы связаны с целевыми показателями, характеризующими достижение целей и решение задач муниципальной программы.</w:t>
      </w:r>
    </w:p>
    <w:p>
      <w:pPr>
        <w:pStyle w:val="Normal"/>
        <w:suppressAutoHyphens w:val="true"/>
        <w:spacing w:lineRule="auto" w:line="240" w:before="0" w:after="0"/>
        <w:ind w:right="-284" w:hanging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3. </w:t>
      </w:r>
      <w:r>
        <w:rPr>
          <w:rFonts w:eastAsia="Calibri" w:cs="Times New Roman" w:ascii="Times New Roman" w:hAnsi="Times New Roman"/>
          <w:sz w:val="28"/>
        </w:rPr>
        <w:t>Перечень и краткое описание подпрограмм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ab/>
        <w:t>Мероприятия м</w:t>
      </w:r>
      <w:r>
        <w:rPr>
          <w:rFonts w:eastAsia="Calibri" w:cs="Times New Roman" w:ascii="Times New Roman" w:hAnsi="Times New Roman"/>
          <w:sz w:val="28"/>
          <w:szCs w:val="28"/>
        </w:rPr>
        <w:t>униципальной программы носят комплексный характер, они согласованы по срокам, а также по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 государственной программы Российской Федерации «Развитие образования» до 2030 года,долгосрочного социально-экономического развития Краснодарского края.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Комплексы мероприятий муниципальной программы объединены в следующие подпрограммы: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«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>Организация образовательного процесса</w:t>
      </w:r>
      <w:r>
        <w:rPr>
          <w:rFonts w:eastAsia="Calibri" w:cs="Times New Roman" w:ascii="Times New Roman" w:hAnsi="Times New Roman"/>
          <w:sz w:val="28"/>
          <w:szCs w:val="28"/>
        </w:rPr>
        <w:t>» (направлена на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zh-CN"/>
        </w:rPr>
        <w:t xml:space="preserve"> 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</w:r>
      <w:r>
        <w:rPr>
          <w:rFonts w:eastAsia="Calibri" w:cs="Times New Roman" w:ascii="Times New Roman" w:hAnsi="Times New Roman"/>
          <w:sz w:val="28"/>
          <w:szCs w:val="28"/>
        </w:rPr>
        <w:t>);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«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>Обеспечение образовательного процесса</w:t>
      </w:r>
      <w:r>
        <w:rPr>
          <w:rFonts w:eastAsia="Calibri" w:cs="Times New Roman" w:ascii="Times New Roman" w:hAnsi="Times New Roman"/>
          <w:sz w:val="28"/>
          <w:szCs w:val="28"/>
        </w:rPr>
        <w:t>» (направленна на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организациях)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«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>Меры социальной поддержки</w:t>
      </w:r>
      <w:r>
        <w:rPr>
          <w:rFonts w:eastAsia="Calibri" w:cs="Times New Roman" w:ascii="Times New Roman" w:hAnsi="Times New Roman"/>
          <w:sz w:val="28"/>
          <w:szCs w:val="28"/>
        </w:rPr>
        <w:t xml:space="preserve">» (направлена на 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обеспечение системы образования муниципального образования Кореновский район квалифицированными кадрами);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ab/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>«Обеспечение реализации муниципальной программы и прочие мероприятия» (направлена на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 работников).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Включение перечисленных подпрограмм в муниципальную программу предопределено структурой системы образования и ключевыми задачами, связанными с обеспечением повышения качества образования.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4. Перечень основных мероприятий муниципальной программы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Перечень основных мероприятий муниципальной программы приводитсяв табличной форме в соответствии с приложением №2подпрограмм«Организация образовательного процесса», «Обеспечение образовательного процесса», «Меры социальной поддержки», «Обеспечение реализации муниципальной программы и прочие мероприятия».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5. Обоснование ресурсного обеспечения муниципальной 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10065" w:type="dxa"/>
        <w:jc w:val="left"/>
        <w:tblInd w:w="-4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839"/>
        <w:gridCol w:w="1137"/>
        <w:gridCol w:w="1419"/>
        <w:gridCol w:w="849"/>
        <w:gridCol w:w="852"/>
        <w:gridCol w:w="849"/>
        <w:gridCol w:w="852"/>
        <w:gridCol w:w="849"/>
        <w:gridCol w:w="710"/>
        <w:gridCol w:w="708"/>
      </w:tblGrid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2026 год</w:t>
            </w:r>
          </w:p>
        </w:tc>
      </w:tr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3" w:right="-63" w:hanging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муниципальной 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3" w:hanging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8"/>
                <w:szCs w:val="28"/>
                <w:lang w:eastAsia="ru-RU" w:bidi="hi-IN"/>
              </w:rPr>
              <w:t xml:space="preserve">«Развитие образования» на 2020-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8"/>
                <w:szCs w:val="28"/>
                <w:lang w:eastAsia="zh-CN" w:bidi="hi-IN"/>
              </w:rPr>
              <w:t>2026 годы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9179698,7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715 209,0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677479,4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811094,4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861121,1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1059050,1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938011,8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976142,5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996,3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69491,8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129828,0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67142,6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253615,7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69886,0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70875,0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329 597,1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384324,2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470863,7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465907,3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479771,5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340584,9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6447,1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2259,2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1048061,6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1131295,4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1411786,1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1394171,0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1792437,3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1348482,7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1053464,6</w:t>
            </w:r>
          </w:p>
        </w:tc>
      </w:tr>
      <w:tr>
        <w:trPr/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sz w:val="28"/>
              </w:rPr>
              <w:t>в том числе:</w:t>
            </w:r>
          </w:p>
        </w:tc>
        <w:tc>
          <w:tcPr>
            <w:tcW w:w="82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</w:tc>
      </w:tr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подпрограммы «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7213495,4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583 724,7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586 134,0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661236,9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751859,2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856653,8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804949,1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853878,0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33 669,7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35967,9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39871,6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39379,1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38335,2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38497,2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252 323,6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290794,9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361377,2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351618,5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356449,1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276775,7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836 048,3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910598,6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1058582,0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1143349,3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1252482,0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1120060,0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892375,2</w:t>
            </w:r>
          </w:p>
        </w:tc>
      </w:tr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 «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Обеспечение образовательного процесса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1124687,6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61484,1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14230,1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72076,9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23884,4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112351,6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39830,3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26554,8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996,3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35822,1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93860,1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27271,0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214236,6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31550,8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32377,8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39507,9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52952,2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59335,3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67237,2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86862,3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23559,5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6447,1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2259,2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104247,5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103004,4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225272,3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118392,6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413450,5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94940,6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65379,7</w:t>
            </w:r>
          </w:p>
        </w:tc>
      </w:tr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Меры социальной поддержки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540586,1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64134,1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70869,2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71110,5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78100,7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78942,8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81461,0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83209,4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990,0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1130,0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6426,9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1508,5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1290,0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1413,0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65124,1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71999,2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77537,4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79609,2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80232,8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82874,0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83209,4</w:t>
            </w:r>
          </w:p>
        </w:tc>
      </w:tr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реализации муниципальной программы и прочие мероприятия»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300929,6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5866,1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6246,1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6670,1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7276,8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11101,9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11771,4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12500,3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36 775,6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39 447,1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43724,3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45543,1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35170,1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38836,7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42641,7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45693,2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50394,4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52819,9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46272,0</w:t>
            </w:r>
            <w:bookmarkStart w:id="3" w:name="_GoBack"/>
            <w:bookmarkEnd w:id="3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50608,1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12500,3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Объем софинансирования из краевого бюджета выделяется в рамках: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государственной программы Краснодарского края «Дети Кубани».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>
      <w:pPr>
        <w:pStyle w:val="Normal"/>
        <w:suppressAutoHyphens w:val="true"/>
        <w:spacing w:lineRule="auto" w:line="240" w:before="0" w:after="0"/>
        <w:ind w:firstLine="708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6. Методика оценки эффективности реализации</w:t>
      </w:r>
    </w:p>
    <w:p>
      <w:pPr>
        <w:pStyle w:val="Normal"/>
        <w:suppressAutoHyphens w:val="true"/>
        <w:spacing w:lineRule="auto" w:line="240" w:before="0" w:after="0"/>
        <w:ind w:firstLine="708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муниципальной программы</w:t>
      </w:r>
    </w:p>
    <w:p>
      <w:pPr>
        <w:pStyle w:val="Normal"/>
        <w:suppressAutoHyphens w:val="true"/>
        <w:spacing w:lineRule="auto" w:line="240" w:before="0" w:after="0"/>
        <w:ind w:firstLine="708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Оценка эффективности реализации муниципальной программы производится ежегодно. В соответствии с базовыми показателями  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7. Механизм реализации муниципальной 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и контроль за ее выполнением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>Текущее управление ходом реализации муниципальной 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обеспечивает разработку и реализацию муниципальной программы;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организует работу по достижению целевых показателей муниципальной программы;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представляет в управление экономики администрации муниципального образования Кореновский район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Исполнителями мероприятий муниципальной 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муниципальной программы в следующие сроки: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оценкуэффективности и результативности реализации муниципальной программы.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  район предоставляет в управление   экономики администрациимуниципального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299" w:charSpace="4096"/>
        </w:sect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 xml:space="preserve">           С.М. Батог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b51cb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7c66e6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7c66e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e20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463A8-C0B7-4C6A-B0F1-69D68BEDE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Application>LibreOffice/7.2.2.2$Windows_X86_64 LibreOffice_project/02b2acce88a210515b4a5bb2e46cbfb63fe97d56</Application>
  <AppVersion>15.0000</AppVersion>
  <Pages>16</Pages>
  <Words>3246</Words>
  <Characters>24723</Characters>
  <CharactersWithSpaces>27817</CharactersWithSpaces>
  <Paragraphs>477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2023-12-18T07:44:00Z</dcterms:created>
  <dc:creator>МОУО Специалист</dc:creator>
  <dc:description/>
  <dc:language>ru-RU</dc:language>
  <cp:lastModifiedBy/>
  <cp:lastPrinted>2024-05-15T08:42:00Z</cp:lastPrinted>
  <dcterms:modified xsi:type="dcterms:W3CDTF">2024-05-23T09:53:20Z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