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80612">
      <w:pPr>
        <w:pageBreakBefore/>
        <w:spacing w:after="0" w:line="240" w:lineRule="auto"/>
        <w:jc w:val="center"/>
        <w:rPr>
          <w:b/>
          <w:bCs/>
          <w:sz w:val="28"/>
          <w:lang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3.75pt" filled="t">
            <v:fill opacity="0" color2="black"/>
            <v:imagedata r:id="rId7" o:title="" croptop="-7f" cropbottom="-7f" cropleft="-9f" cropright="-9f"/>
          </v:shape>
        </w:pict>
      </w:r>
    </w:p>
    <w:p w:rsidR="00000000" w:rsidRDefault="00080612">
      <w:pPr>
        <w:keepNext/>
        <w:tabs>
          <w:tab w:val="left" w:pos="0"/>
        </w:tabs>
        <w:spacing w:after="0" w:line="240" w:lineRule="auto"/>
        <w:jc w:val="center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АДМИНИСТРАЦИЯ  МУНИЦИПАЛЬНОГО  ОБРАЗОВАНИЯ</w:t>
      </w:r>
    </w:p>
    <w:p w:rsidR="00000000" w:rsidRDefault="00080612">
      <w:pPr>
        <w:keepNext/>
        <w:tabs>
          <w:tab w:val="left" w:pos="0"/>
        </w:tabs>
        <w:spacing w:after="0" w:line="240" w:lineRule="auto"/>
        <w:jc w:val="center"/>
        <w:rPr>
          <w:b/>
          <w:bCs/>
          <w:sz w:val="36"/>
          <w:lang/>
        </w:rPr>
      </w:pPr>
      <w:r>
        <w:rPr>
          <w:b/>
          <w:bCs/>
          <w:sz w:val="28"/>
          <w:lang/>
        </w:rPr>
        <w:t>КОРЕНОВСКИЙ  РАЙОН</w:t>
      </w:r>
    </w:p>
    <w:p w:rsidR="00000000" w:rsidRDefault="00080612">
      <w:pPr>
        <w:tabs>
          <w:tab w:val="left" w:pos="0"/>
        </w:tabs>
        <w:spacing w:before="108" w:after="0" w:line="240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080612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от   24.05.2024                                                                                                  № 541</w:t>
      </w:r>
    </w:p>
    <w:p w:rsidR="00000000" w:rsidRDefault="00080612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г.Кореновск</w:t>
      </w:r>
    </w:p>
    <w:p w:rsidR="00000000" w:rsidRDefault="00080612">
      <w:pPr>
        <w:spacing w:after="0"/>
        <w:jc w:val="center"/>
        <w:rPr>
          <w:color w:val="000000"/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финансирования за счет </w:t>
      </w:r>
      <w:r>
        <w:rPr>
          <w:b/>
          <w:bCs/>
          <w:sz w:val="28"/>
          <w:szCs w:val="28"/>
        </w:rPr>
        <w:t>средств бюджета муниципального образования Кореновский район и норм расходов средств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</w:t>
      </w:r>
      <w:r>
        <w:rPr>
          <w:b/>
          <w:bCs/>
          <w:sz w:val="28"/>
          <w:szCs w:val="28"/>
        </w:rPr>
        <w:t>ных физкультурных и спортивных мероприятиях</w:t>
      </w:r>
    </w:p>
    <w:p w:rsidR="00000000" w:rsidRDefault="00080612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4 декабря 2007 года № 329- ФЗ «О физической культуре и спорте в Российской Федерации»,</w:t>
      </w:r>
      <w:r>
        <w:rPr>
          <w:color w:val="000000"/>
          <w:sz w:val="28"/>
          <w:szCs w:val="28"/>
        </w:rPr>
        <w:t xml:space="preserve"> п</w:t>
      </w:r>
      <w:r>
        <w:rPr>
          <w:rStyle w:val="a8"/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риказа министерства физической культуры и спорта Краснодарского края               </w:t>
      </w:r>
      <w:r>
        <w:rPr>
          <w:rStyle w:val="a8"/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   от 30 декабря 2022 г. N 2141 "Об утверждении порядка финансирования за счет средств бюджета Краснодарского края и норм расходов средств на проведение физкультурных мероприятий и спортивных мероприятий, во исполнение статьи 86 Бюджетного Кодекса Росси</w:t>
      </w:r>
      <w:r>
        <w:rPr>
          <w:rStyle w:val="a8"/>
          <w:rFonts w:ascii="Times New Roman CYR" w:hAnsi="Times New Roman CYR" w:cs="Times New Roman CYR"/>
          <w:color w:val="000000"/>
          <w:sz w:val="28"/>
          <w:szCs w:val="28"/>
          <w:lang w:eastAsia="ru-RU"/>
        </w:rPr>
        <w:t>йской Федерации, в целях рационального использования средств бюджета муниципального образования Кореновский район  на проведение физкультурных мероприятий и спортивных мероприятий, включенных в календарный план официальных физкультурных мероприятий и спорт</w:t>
      </w:r>
      <w:r>
        <w:rPr>
          <w:rStyle w:val="a8"/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ивных мероприятий </w:t>
      </w:r>
      <w:r>
        <w:rPr>
          <w:sz w:val="28"/>
          <w:szCs w:val="28"/>
        </w:rPr>
        <w:t>администрация муниципального образования Кореновский район  п о с т а н о в л я е т:</w:t>
      </w:r>
    </w:p>
    <w:p w:rsidR="00000000" w:rsidRDefault="00080612">
      <w:pPr>
        <w:spacing w:after="0" w:line="240" w:lineRule="auto"/>
        <w:ind w:firstLine="720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>1. Утвердить порядок финансирования за счет средств бюджета муниципального образования Кореновский район официальных физкультурных мероприятий и спортивн</w:t>
      </w:r>
      <w:r>
        <w:rPr>
          <w:sz w:val="28"/>
          <w:szCs w:val="28"/>
        </w:rPr>
        <w:t>ых мероприятий (приложение № 1).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>2. Утвердить нормы расходов средств бюджета</w:t>
      </w:r>
      <w:r>
        <w:rPr>
          <w:sz w:val="28"/>
          <w:szCs w:val="28"/>
        </w:rPr>
        <w:t xml:space="preserve"> муниципального образования Кореновский район</w:t>
      </w:r>
      <w:r>
        <w:t xml:space="preserve"> </w:t>
      </w:r>
      <w:r>
        <w:rPr>
          <w:rStyle w:val="11"/>
          <w:sz w:val="28"/>
          <w:szCs w:val="28"/>
        </w:rPr>
        <w:t>на проведение официальных физкультурных мероприятий и спортивных мероприятий, а также участие в межмуниципальных, межрегиональных, рег</w:t>
      </w:r>
      <w:r>
        <w:rPr>
          <w:rStyle w:val="11"/>
          <w:sz w:val="28"/>
          <w:szCs w:val="28"/>
        </w:rPr>
        <w:t>иональных, всероссийских и международных физкультурных и спортивных мероприятиях (приложение № 2).</w:t>
      </w:r>
    </w:p>
    <w:p w:rsidR="00000000" w:rsidRDefault="00080612">
      <w:pPr>
        <w:spacing w:after="0" w:line="24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3. Расходы, определенные настоящим постановлением, производить в пределах утвержденных и выделенных средств из бюджета муниципального образования Кореновский</w:t>
      </w:r>
      <w:r>
        <w:rPr>
          <w:sz w:val="28"/>
          <w:szCs w:val="28"/>
        </w:rPr>
        <w:t xml:space="preserve"> район на проведение мероприятий в области физической культуры и спорта.</w:t>
      </w:r>
    </w:p>
    <w:p w:rsidR="00000000" w:rsidRDefault="00080612">
      <w:pPr>
        <w:spacing w:after="0" w:line="24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Муниципальному казенному учреждению «Централизованная бухгалтерия муниципальных учреждений муниципального образования </w:t>
      </w:r>
      <w:r>
        <w:rPr>
          <w:sz w:val="28"/>
          <w:szCs w:val="28"/>
        </w:rPr>
        <w:lastRenderedPageBreak/>
        <w:t>Кореновский район» (Белова), отделу по физической культуре и с</w:t>
      </w:r>
      <w:r>
        <w:rPr>
          <w:sz w:val="28"/>
          <w:szCs w:val="28"/>
        </w:rPr>
        <w:t>порту администрации муниципального образования Кореновский район, управлению образования администрации муниципального образования Кореновский район (Батог) при составлении смет и расходов на проведение физкультурных и спортивных мероприятий руководствовать</w:t>
      </w:r>
      <w:r>
        <w:rPr>
          <w:sz w:val="28"/>
          <w:szCs w:val="28"/>
        </w:rPr>
        <w:t>ся настоящим постановлением.</w:t>
      </w:r>
    </w:p>
    <w:p w:rsidR="00000000" w:rsidRDefault="00080612">
      <w:pPr>
        <w:spacing w:after="0" w:line="240" w:lineRule="auto"/>
        <w:ind w:firstLine="660"/>
        <w:jc w:val="both"/>
        <w:rPr>
          <w:rStyle w:val="0pt"/>
          <w:rFonts w:eastAsia="Calibri"/>
          <w:spacing w:val="-2"/>
          <w:sz w:val="28"/>
          <w:szCs w:val="28"/>
          <w:shd w:val="clear" w:color="auto" w:fill="FFFFFF"/>
        </w:rPr>
      </w:pPr>
      <w:r>
        <w:rPr>
          <w:sz w:val="28"/>
          <w:szCs w:val="28"/>
        </w:rPr>
        <w:t>5. Признать утратившим силу постановление администрации муниципального образования Кореновский район от 24 сентября 2019 года       № 1296 «Об утверждении порядка финансирования за счет средств районного бюджета и норм расходов</w:t>
      </w:r>
      <w:r>
        <w:rPr>
          <w:sz w:val="28"/>
          <w:szCs w:val="28"/>
        </w:rPr>
        <w:t xml:space="preserve"> средств на проведение официальных физкультурных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мероприятиях».</w:t>
      </w:r>
    </w:p>
    <w:p w:rsidR="00000000" w:rsidRDefault="00080612">
      <w:pPr>
        <w:spacing w:after="0" w:line="240" w:lineRule="auto"/>
        <w:ind w:firstLine="660"/>
        <w:jc w:val="both"/>
        <w:rPr>
          <w:sz w:val="28"/>
          <w:szCs w:val="28"/>
        </w:rPr>
      </w:pP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6.Управлению службы протокола </w:t>
      </w:r>
      <w:r>
        <w:rPr>
          <w:rStyle w:val="0pt"/>
          <w:rFonts w:eastAsia="Calibri"/>
          <w:spacing w:val="-2"/>
          <w:sz w:val="28"/>
          <w:szCs w:val="28"/>
          <w:shd w:val="clear" w:color="auto" w:fill="FFFFFF"/>
        </w:rPr>
        <w:t xml:space="preserve">и информационной политики администрации муниципального образования Кореновский район опубликовать </w:t>
      </w:r>
      <w:r>
        <w:rPr>
          <w:rStyle w:val="0pt"/>
          <w:rFonts w:eastAsia="Calibri"/>
          <w:sz w:val="28"/>
          <w:szCs w:val="28"/>
        </w:rPr>
        <w:t>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</w:t>
      </w:r>
      <w:r>
        <w:rPr>
          <w:rStyle w:val="0pt"/>
          <w:rFonts w:eastAsia="Calibri"/>
          <w:sz w:val="28"/>
          <w:szCs w:val="28"/>
        </w:rPr>
        <w:t>ания Кореновский район.</w:t>
      </w:r>
    </w:p>
    <w:p w:rsidR="00000000" w:rsidRDefault="00080612">
      <w:pPr>
        <w:tabs>
          <w:tab w:val="clear" w:pos="708"/>
          <w:tab w:val="left" w:pos="709"/>
        </w:tabs>
        <w:spacing w:after="0" w:line="240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7. Контроль за выполнением настоящего постановления возложить на заместителя главы муниципального образования Кореновский район          И.А. Максименко.</w:t>
      </w:r>
    </w:p>
    <w:p w:rsidR="00000000" w:rsidRDefault="00080612">
      <w:pPr>
        <w:tabs>
          <w:tab w:val="clear" w:pos="708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Постановление вступает в силу после его официального опубликования.</w:t>
      </w:r>
    </w:p>
    <w:p w:rsidR="00000000" w:rsidRDefault="00080612">
      <w:pPr>
        <w:spacing w:after="0" w:line="240" w:lineRule="auto"/>
        <w:ind w:firstLine="660"/>
        <w:jc w:val="both"/>
        <w:rPr>
          <w:sz w:val="28"/>
          <w:szCs w:val="28"/>
        </w:rPr>
      </w:pPr>
    </w:p>
    <w:p w:rsidR="00000000" w:rsidRDefault="00080612">
      <w:pPr>
        <w:spacing w:after="0" w:line="240" w:lineRule="auto"/>
        <w:ind w:firstLine="660"/>
        <w:jc w:val="both"/>
        <w:rPr>
          <w:sz w:val="28"/>
          <w:szCs w:val="28"/>
        </w:rPr>
      </w:pP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С.А. Голобородько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ectPr w:rsidR="00000000">
          <w:headerReference w:type="default" r:id="rId8"/>
          <w:headerReference w:type="first" r:id="rId9"/>
          <w:pgSz w:w="11906" w:h="16838"/>
          <w:pgMar w:top="776" w:right="567" w:bottom="1134" w:left="1701" w:header="720" w:footer="720" w:gutter="0"/>
          <w:cols w:space="720"/>
          <w:docGrid w:linePitch="600" w:charSpace="40960"/>
        </w:sectPr>
      </w:pPr>
    </w:p>
    <w:p w:rsidR="00000000" w:rsidRDefault="00080612">
      <w:pPr>
        <w:pageBreakBefore/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от 24</w:t>
      </w:r>
      <w:r>
        <w:rPr>
          <w:sz w:val="28"/>
          <w:szCs w:val="28"/>
        </w:rPr>
        <w:t>.05.2024 № 541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rStyle w:val="11"/>
          <w:szCs w:val="28"/>
        </w:rPr>
      </w:pPr>
      <w:r>
        <w:rPr>
          <w:sz w:val="28"/>
          <w:szCs w:val="28"/>
        </w:rPr>
        <w:t>ПОРЯДОК</w:t>
      </w:r>
    </w:p>
    <w:p w:rsidR="00000000" w:rsidRDefault="00080612">
      <w:pPr>
        <w:pStyle w:val="10"/>
        <w:jc w:val="center"/>
        <w:rPr>
          <w:szCs w:val="28"/>
        </w:rPr>
      </w:pPr>
      <w:r>
        <w:rPr>
          <w:rStyle w:val="11"/>
          <w:szCs w:val="28"/>
        </w:rPr>
        <w:t xml:space="preserve">финансирования за счет средств бюджета </w:t>
      </w:r>
      <w:r>
        <w:rPr>
          <w:szCs w:val="28"/>
        </w:rPr>
        <w:t xml:space="preserve">муниципального образования Кореновский район </w:t>
      </w:r>
      <w:r>
        <w:rPr>
          <w:rStyle w:val="11"/>
          <w:rFonts w:eastAsia="Times New Roman" w:cs="Times New Roman"/>
          <w:color w:val="00000A"/>
          <w:kern w:val="0"/>
          <w:szCs w:val="28"/>
        </w:rPr>
        <w:t>официальных физкультурных мероприятий и спортивных мероприятий</w:t>
      </w:r>
    </w:p>
    <w:p w:rsidR="00000000" w:rsidRDefault="00080612">
      <w:pPr>
        <w:spacing w:after="0" w:line="240" w:lineRule="auto"/>
        <w:ind w:firstLine="720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 Порядок финансирования за счет бюджета муниципального образования Кореновский ра</w:t>
      </w:r>
      <w:r>
        <w:rPr>
          <w:sz w:val="28"/>
          <w:szCs w:val="28"/>
        </w:rPr>
        <w:t xml:space="preserve">йон   физкультурных мероприятий и спортивных мероприятий (далее - Порядок) определяет порядок и условия финансового обеспечения расходов на реализацию физкультурных мероприятий и спортивных мероприятий включенных в Единый календарный план межрегиональных, </w:t>
      </w:r>
      <w:r>
        <w:rPr>
          <w:sz w:val="28"/>
          <w:szCs w:val="28"/>
        </w:rPr>
        <w:t>всероссийских и международных физкультурных мероприятий и спортивных мероприятий министерства спорта Российской Федерации, Краснодарского края, календарного плана официальных физкультурных и спортивных мероприятий муниципального образования Кореновский рай</w:t>
      </w:r>
      <w:r>
        <w:rPr>
          <w:sz w:val="28"/>
          <w:szCs w:val="28"/>
        </w:rPr>
        <w:t>он, календарных планов общероссийских спортивных федераций, региональных спортивных федераций, календарных планов физкультурно-спортивных организаций.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 Финансирование физкультурных и спортивных мероприятий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Финансирование районных и краевых физкульт</w:t>
      </w:r>
      <w:r>
        <w:rPr>
          <w:sz w:val="28"/>
          <w:szCs w:val="28"/>
        </w:rPr>
        <w:t xml:space="preserve">урных и спортивных мероприятий по видам спорта, финансирование участников физкультурных и спортивных международных, всероссийских, межрегиональных, региональных, межмуниципальных и муниципальных мероприятий осуществляется за счет средств районного бюджета </w:t>
      </w:r>
      <w:r>
        <w:rPr>
          <w:sz w:val="28"/>
          <w:szCs w:val="28"/>
        </w:rPr>
        <w:t>в пределах выделенных лимитов на текущий финансовый год в рамках Муниципальной программы «Развитие физической культуры и спорта в муниципальном образовании Кореновский район на 2024-2028 годы».</w:t>
      </w:r>
    </w:p>
    <w:p w:rsidR="00000000" w:rsidRDefault="00080612">
      <w:pPr>
        <w:spacing w:after="0" w:line="240" w:lineRule="auto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ab/>
        <w:t>2.2. Финансирование осуществляется из средств районного бюдже</w:t>
      </w:r>
      <w:r>
        <w:rPr>
          <w:sz w:val="28"/>
          <w:szCs w:val="28"/>
        </w:rPr>
        <w:t>та, а также средств спонсоров, внебюджетных средств и иных, не запрещенных законодательством Российской Федерации, источников финансирования.</w:t>
      </w:r>
    </w:p>
    <w:p w:rsidR="00000000" w:rsidRDefault="00080612">
      <w:pPr>
        <w:spacing w:after="0" w:line="240" w:lineRule="auto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>2.3. Направление участников на мероприятия осуществляется на основании следующих документов:</w:t>
      </w:r>
      <w:r>
        <w:t xml:space="preserve"> </w:t>
      </w:r>
    </w:p>
    <w:p w:rsidR="00000000" w:rsidRDefault="00080612">
      <w:pPr>
        <w:spacing w:after="0" w:line="240" w:lineRule="auto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>а)</w:t>
      </w:r>
      <w:r>
        <w:t xml:space="preserve"> </w:t>
      </w:r>
      <w:r>
        <w:rPr>
          <w:rStyle w:val="11"/>
          <w:sz w:val="28"/>
          <w:szCs w:val="28"/>
        </w:rPr>
        <w:t>единого календа</w:t>
      </w:r>
      <w:r>
        <w:rPr>
          <w:rStyle w:val="11"/>
          <w:sz w:val="28"/>
          <w:szCs w:val="28"/>
        </w:rPr>
        <w:t xml:space="preserve">рного плана межрегиональных, всероссийских и международных физкультурных мероприятий и спортивных мероприятий министерства физической культуры и спорта Российской Федерации, календарного плана официальных физкультурных мероприятий и спортивных мероприятий </w:t>
      </w:r>
      <w:r>
        <w:rPr>
          <w:rStyle w:val="11"/>
          <w:sz w:val="28"/>
          <w:szCs w:val="28"/>
        </w:rPr>
        <w:t xml:space="preserve">Краснодарского края (или другого субъекта Российской Федерации), календарных планов общероссийских и региональных спортивных федераций, календарных планов физкультурных и спортивных организаций; 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>б)</w:t>
      </w:r>
      <w:r>
        <w:t xml:space="preserve"> </w:t>
      </w:r>
      <w:r>
        <w:rPr>
          <w:rStyle w:val="11"/>
          <w:sz w:val="28"/>
          <w:szCs w:val="28"/>
        </w:rPr>
        <w:t>положений о физкультурных мероприятиях или спортивных ме</w:t>
      </w:r>
      <w:r>
        <w:rPr>
          <w:rStyle w:val="11"/>
          <w:sz w:val="28"/>
          <w:szCs w:val="28"/>
        </w:rPr>
        <w:t>роприятиях (за исключением международных соревнований);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вызовов ФГБУ «Центр спортивной подготовки сборных команд России»; ФГБУ «Федеральный центр подготовки спортивного резерва»; общероссийских спортивных федераций по видам спорта, других физкультурно-</w:t>
      </w:r>
      <w:r>
        <w:rPr>
          <w:sz w:val="28"/>
          <w:szCs w:val="28"/>
        </w:rPr>
        <w:t>спортивных организаций.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За счет средств районного бюджета возмещаются организационные расходы по физкультурным и спортивным мероприятиям связанные с: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услугами по организации и проведению физкультурно-спортивных мероприятий;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услугами и арендой с</w:t>
      </w:r>
      <w:r>
        <w:rPr>
          <w:sz w:val="28"/>
          <w:szCs w:val="28"/>
        </w:rPr>
        <w:t>портивных сооружений (основных и вспомогательных) для всех спортивных сооружений независимо от их организационно-правовой формы, форм собственности и ведомственной принадлежности;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услугами автотранспорта;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медицинским обеспечением;</w:t>
      </w:r>
    </w:p>
    <w:p w:rsidR="00000000" w:rsidRDefault="00080612">
      <w:pPr>
        <w:spacing w:after="0" w:line="240" w:lineRule="auto"/>
        <w:jc w:val="both"/>
        <w:rPr>
          <w:rStyle w:val="11"/>
          <w:sz w:val="28"/>
          <w:szCs w:val="28"/>
        </w:rPr>
      </w:pPr>
      <w:r>
        <w:rPr>
          <w:sz w:val="28"/>
          <w:szCs w:val="28"/>
        </w:rPr>
        <w:tab/>
        <w:t xml:space="preserve">- оплатой питания </w:t>
      </w:r>
      <w:r>
        <w:rPr>
          <w:sz w:val="28"/>
          <w:szCs w:val="28"/>
        </w:rPr>
        <w:t>и проживания (а также бронирования мест проживания) участников соревнований;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>- награждением участников соревнований (медали, грамоты, переходящие, памятные и денежные призы);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оплатой работы судей;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оплатой работы обслуживающего персонала;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оплатой </w:t>
      </w:r>
      <w:r>
        <w:rPr>
          <w:sz w:val="28"/>
          <w:szCs w:val="28"/>
        </w:rPr>
        <w:t>канцелярских товаров и других расходных материалов;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оплатой типографских услуг, изготовление баннеров и перетяжек;</w:t>
      </w:r>
    </w:p>
    <w:p w:rsidR="00000000" w:rsidRDefault="00080612">
      <w:pPr>
        <w:spacing w:after="0" w:line="240" w:lineRule="auto"/>
        <w:jc w:val="both"/>
      </w:pPr>
      <w:r>
        <w:rPr>
          <w:sz w:val="28"/>
          <w:szCs w:val="28"/>
        </w:rPr>
        <w:tab/>
        <w:t>- оплатой сувенирной продукции;</w:t>
      </w:r>
    </w:p>
    <w:p w:rsidR="00000000" w:rsidRDefault="00080612">
      <w:pPr>
        <w:pStyle w:val="10"/>
        <w:rPr>
          <w:szCs w:val="28"/>
        </w:rPr>
      </w:pPr>
      <w:r>
        <w:tab/>
        <w:t>- оплатой стартового (целевого, членского, заявочного) взноса;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услугами проведения торжественных откр</w:t>
      </w:r>
      <w:r>
        <w:rPr>
          <w:sz w:val="28"/>
          <w:szCs w:val="28"/>
        </w:rPr>
        <w:t>ытий и закрытий соревнований и спортивных праздников;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страхованием участников;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выплатой участникам физкультурных и спортивных мероприятий за время нахождения в пути;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приобретением спортивного инвентаря, оборудования и экипировки, необходимых для п</w:t>
      </w:r>
      <w:r>
        <w:rPr>
          <w:sz w:val="28"/>
          <w:szCs w:val="28"/>
        </w:rPr>
        <w:t>роведения физкультурных и спортивных мероприятий;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оплатой проезда участников соревнований, тренеров и специалистов.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При проведении официальных физкультурных и спортивных мероприятий за счет средств районного бюджета в установленном порядке утвержд</w:t>
      </w:r>
      <w:r>
        <w:rPr>
          <w:sz w:val="28"/>
          <w:szCs w:val="28"/>
        </w:rPr>
        <w:t>ается смета и издается приказ, включающие количественный состав участников мероприятий, сроки их проведения и нормы материального обеспечения. Покрытие расходов на мероприятия, проводимые за счет средств районного бюджета, производится в соответствии с утв</w:t>
      </w:r>
      <w:r>
        <w:rPr>
          <w:sz w:val="28"/>
          <w:szCs w:val="28"/>
        </w:rPr>
        <w:t>ержденными нормами расходов.</w:t>
      </w:r>
    </w:p>
    <w:p w:rsidR="00000000" w:rsidRDefault="00080612">
      <w:pPr>
        <w:spacing w:after="0" w:line="240" w:lineRule="auto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>2.6. Расходы по найму жилого помещения производятся по фактической стоимости одноместного номера, действующей в городе или районе, в котором проводится мероприятие, но не более 2500 рублей в сутки на человека на всей территории</w:t>
      </w:r>
      <w:r>
        <w:rPr>
          <w:sz w:val="28"/>
          <w:szCs w:val="28"/>
        </w:rPr>
        <w:t xml:space="preserve"> Российской Федерации, кроме г. Москвы, г. Санкт-Петербурга и</w:t>
      </w:r>
    </w:p>
    <w:p w:rsidR="00000000" w:rsidRDefault="0008061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г. Сочи, в которых расходы по найму жилого помещения производятся по фактической стоимости одноместного номера до 4000 рублей. </w:t>
      </w:r>
    </w:p>
    <w:p w:rsidR="00000000" w:rsidRDefault="00080612">
      <w:pPr>
        <w:spacing w:after="0" w:line="240" w:lineRule="auto"/>
        <w:ind w:firstLine="7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 Расходы по оплате труда привлеченных специалистов и обслужива</w:t>
      </w:r>
      <w:r>
        <w:rPr>
          <w:color w:val="000000"/>
          <w:sz w:val="28"/>
          <w:szCs w:val="28"/>
        </w:rPr>
        <w:t>ющего персонала, не вошедших в число участников, производятся в размерах принятых нормами расходов для участников соревнований.</w:t>
      </w:r>
    </w:p>
    <w:p w:rsidR="00000000" w:rsidRDefault="00080612">
      <w:pPr>
        <w:spacing w:after="0" w:line="240" w:lineRule="auto"/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>
        <w:rPr>
          <w:rStyle w:val="11"/>
          <w:sz w:val="28"/>
          <w:szCs w:val="28"/>
        </w:rPr>
        <w:t xml:space="preserve">При участии в физкультурных и спортивных мероприятиях с выездом, проводимых на территории Российской Федерации, участникам </w:t>
      </w:r>
      <w:r>
        <w:rPr>
          <w:rStyle w:val="11"/>
          <w:sz w:val="28"/>
          <w:szCs w:val="28"/>
        </w:rPr>
        <w:t>этих мероприятий выдаются денежные средства в размере 100 рублей в день каждому за время нахождения в пути, в случае начала соревнований в день приезда участникам мероприятий выдаются денежные средства на питание в размере согласно утвержденным нормам.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>9. При участии в мероприятиях с выездом на территории других государств участники этих мероприятий обеспечиваются во время нахождения в пути по территории Российской Федерации питанием в размере 100 рублей в день при условии предоставления подтверждающих д</w:t>
      </w:r>
      <w:r>
        <w:rPr>
          <w:sz w:val="28"/>
          <w:szCs w:val="28"/>
        </w:rPr>
        <w:t xml:space="preserve">окументов по проезду. </w:t>
      </w:r>
    </w:p>
    <w:p w:rsidR="00000000" w:rsidRDefault="00080612">
      <w:pPr>
        <w:spacing w:after="0" w:line="240" w:lineRule="auto"/>
        <w:ind w:firstLine="723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При следовании работника с территории Российской Федерации дата пересечения государственной границы Российской Федерации и нахождение на территории другого государства включается в дни, за которые питание выпл</w:t>
      </w:r>
      <w:r>
        <w:rPr>
          <w:color w:val="000000"/>
          <w:sz w:val="28"/>
          <w:szCs w:val="28"/>
        </w:rPr>
        <w:t xml:space="preserve">ачивается в иностранной </w:t>
      </w:r>
      <w:r>
        <w:rPr>
          <w:color w:val="000000"/>
          <w:sz w:val="28"/>
          <w:szCs w:val="28"/>
        </w:rPr>
        <w:t xml:space="preserve">валюте в соответствии с таблицей № 2 приложения № 2. </w:t>
      </w:r>
    </w:p>
    <w:p w:rsidR="00000000" w:rsidRDefault="00080612">
      <w:pPr>
        <w:spacing w:after="0" w:line="240" w:lineRule="auto"/>
        <w:ind w:firstLine="723"/>
        <w:jc w:val="both"/>
        <w:rPr>
          <w:rStyle w:val="11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При следовании на территорию Российской Федерации дата пересечения государственной границы Российской Федерации включается в дни, за которые питание выплачивается в рублях. </w:t>
      </w:r>
    </w:p>
    <w:p w:rsidR="00000000" w:rsidRDefault="00080612">
      <w:pPr>
        <w:spacing w:after="0" w:line="240" w:lineRule="auto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2.10. </w:t>
      </w:r>
      <w:r>
        <w:rPr>
          <w:rStyle w:val="11"/>
          <w:color w:val="000000"/>
          <w:sz w:val="28"/>
          <w:szCs w:val="28"/>
        </w:rPr>
        <w:t>Расходы по найму жило</w:t>
      </w:r>
      <w:r>
        <w:rPr>
          <w:rStyle w:val="11"/>
          <w:color w:val="000000"/>
          <w:sz w:val="28"/>
          <w:szCs w:val="28"/>
        </w:rPr>
        <w:t>го помещения участников, тренеров, представителей между</w:t>
      </w:r>
      <w:r>
        <w:rPr>
          <w:rStyle w:val="11"/>
          <w:sz w:val="28"/>
          <w:szCs w:val="28"/>
        </w:rPr>
        <w:t>народных спортивных мероприятий, проводимые за территорией Российской Федерации, производятся в соответствии с таблицей № 2 приложения № 2.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ab/>
        <w:t>2.11. Расходы по проезду участников</w:t>
      </w:r>
      <w:r>
        <w:rPr>
          <w:rStyle w:val="11"/>
          <w:color w:val="000000"/>
          <w:sz w:val="28"/>
          <w:szCs w:val="28"/>
        </w:rPr>
        <w:t>, тренеров, представителе</w:t>
      </w:r>
      <w:r>
        <w:rPr>
          <w:rStyle w:val="11"/>
          <w:color w:val="000000"/>
          <w:sz w:val="28"/>
          <w:szCs w:val="28"/>
        </w:rPr>
        <w:t>й между</w:t>
      </w:r>
      <w:r>
        <w:rPr>
          <w:rStyle w:val="11"/>
          <w:sz w:val="28"/>
          <w:szCs w:val="28"/>
        </w:rPr>
        <w:t>народных спортивных мероприятий, проводимые за территорией Российской Федерации, производятся в рублях по фактической стоимости.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Финансирование осуществляется в пределах норм расходов средств на проведение физкультурных мероприятий и спортивных м</w:t>
      </w:r>
      <w:r>
        <w:rPr>
          <w:sz w:val="28"/>
          <w:szCs w:val="28"/>
        </w:rPr>
        <w:t>ероприятий, утвержденных постановлением администрации муниципального образования Кореновский район.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За счет средств бюджета муниципального образования Кореновский район могут возмещаться расходы, связанные с :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организацией и проведением муниципальных </w:t>
      </w:r>
      <w:r>
        <w:rPr>
          <w:sz w:val="28"/>
          <w:szCs w:val="28"/>
        </w:rPr>
        <w:t>официальных физкультурных мероприятий и спортивных мероприятий;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участием в муниципальных, межмуниципальных, региональных, межрегиональных, всероссийских и международных официальных мероприятиях и спортивных мероприятиях;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организации и проведении </w:t>
      </w:r>
      <w:r>
        <w:rPr>
          <w:sz w:val="28"/>
          <w:szCs w:val="28"/>
        </w:rPr>
        <w:t>муниципальных, межмуниципальных, региональных, межрегиональных, всероссийских и международных официальных физкультурных мероприятий и спортивных мероприятий, спортивных соревнований и тренировочных мероприятий спортивных сборных команд Российской Федерации</w:t>
      </w:r>
      <w:r>
        <w:rPr>
          <w:sz w:val="28"/>
          <w:szCs w:val="28"/>
        </w:rPr>
        <w:t xml:space="preserve"> и спортивных сборных команд Краснодарского края, муниципального образования Кореновский район, проводимых на территории муниципального образования Кореновский район.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Финансовое обеспечение расходов на проведение официальных физкультурных мероприятий и </w:t>
      </w:r>
      <w:r>
        <w:rPr>
          <w:sz w:val="28"/>
          <w:szCs w:val="28"/>
        </w:rPr>
        <w:t>спортивных мероприятий ( далее- мероприятия) осуществляется в пределах бюджетных ассигнований, утвержденных на эти цели Советом муниципального образования Кореновский район на текущий финансовый год и на плановый период.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Объемы и условия финансового обе</w:t>
      </w:r>
      <w:r>
        <w:rPr>
          <w:sz w:val="28"/>
          <w:szCs w:val="28"/>
        </w:rPr>
        <w:t>спечения мероприятий в соответствующем году, определяются из приоритетных направлений развития физической культуры и спорта, норм расходов средств на проведение мероприятий, а также положений и (или) регламентов о проведении мероприятий, утвержденных их ор</w:t>
      </w:r>
      <w:r>
        <w:rPr>
          <w:sz w:val="28"/>
          <w:szCs w:val="28"/>
        </w:rPr>
        <w:t>ганизаторами.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Направление участников на мероприятия осуществляется на основании следующих документов: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Единого календарного плана межрегиональных, всероссийских и международных физкультурных мероприятий и спортивных мероприятий министерства спорта Россий</w:t>
      </w:r>
      <w:r>
        <w:rPr>
          <w:sz w:val="28"/>
          <w:szCs w:val="28"/>
        </w:rPr>
        <w:t>ской Федерации, Краснодарского края, календарного плана официальных физкультурных и спортивных мероприятий отдела по физической культуре и спорту администрации муниципального образования Кореновский район, календарных планов общероссийских спортивных федер</w:t>
      </w:r>
      <w:r>
        <w:rPr>
          <w:sz w:val="28"/>
          <w:szCs w:val="28"/>
        </w:rPr>
        <w:t>аций, региональных спортивных федераций, календарных планов физкультурно-спортивных организаций;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положений о мероприятиях (за исключением международных соревнований);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 одного из следующих документов: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вызов министерства физической культуры и спорта Краснод</w:t>
      </w:r>
      <w:r>
        <w:rPr>
          <w:sz w:val="28"/>
          <w:szCs w:val="28"/>
        </w:rPr>
        <w:t>арского края;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вызова регионального центра спортивной подготовки;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вызова региональных спортивных федераций;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вызова других физкультурно-спортивных организаций.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В случае если в положении о мероприятии не указано, что для командирования спортивной сборной к</w:t>
      </w:r>
      <w:r>
        <w:rPr>
          <w:sz w:val="28"/>
          <w:szCs w:val="28"/>
        </w:rPr>
        <w:t>оманды муниципального образования или спортсменов на мероприятие необходимо наличие одного из вызовов, перечисленных в пункте 7 настоящего Порядка, то настоящее положение является основанием для командирования спортивной сборной команды или спортсменов мун</w:t>
      </w:r>
      <w:r>
        <w:rPr>
          <w:sz w:val="28"/>
          <w:szCs w:val="28"/>
        </w:rPr>
        <w:t>иципального образования Кореновский район на мероприятие.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Расходы, связанные с оплатой проезда к месту проведения Мероприятия и обратно, оплатой питания и проживания, а также другие расходы участников мероприятия могут оплачиваться в соответствии с усло</w:t>
      </w:r>
      <w:r>
        <w:rPr>
          <w:sz w:val="28"/>
          <w:szCs w:val="28"/>
        </w:rPr>
        <w:t>виями, указанными в положении о мероприятии.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При организации и проведении мероприятий могут оплачиваться услуги по организации и проведению мероприятий. Размер оплаты таких услуг определяется путем мониторинга в зависимости от наполнения услуги. Наполн</w:t>
      </w:r>
      <w:r>
        <w:rPr>
          <w:sz w:val="28"/>
          <w:szCs w:val="28"/>
        </w:rPr>
        <w:t>ение услуги осуществляется за счет услуг, предусмотренных настоящим Порядком, положением (регламентом) мероприятия, правилами по соответствующему виду спорта, стоимости которых не превышает установленные нормы расходов (если они предусмотрены) и подтвержда</w:t>
      </w:r>
      <w:r>
        <w:rPr>
          <w:sz w:val="28"/>
          <w:szCs w:val="28"/>
        </w:rPr>
        <w:t>ется документально.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При участии в мероприятиях на территории Российской Федерации и мероприятиях на территории иностранных государств могут оплачиваться стартовые, заявочные взносы в соответствии  с положениями (регламентами) мероприятий.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Увеличени</w:t>
      </w:r>
      <w:r>
        <w:rPr>
          <w:sz w:val="28"/>
          <w:szCs w:val="28"/>
        </w:rPr>
        <w:t>е норм расходов, установленных муниципальным образованием Кореновский район, может производиться организаторами мероприятий за счет внебюджетных источников финансирования.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При проведении мероприятий в соответствии с правовыми актами муниципального обра</w:t>
      </w:r>
      <w:r>
        <w:rPr>
          <w:sz w:val="28"/>
          <w:szCs w:val="28"/>
        </w:rPr>
        <w:t xml:space="preserve">зования Кореновский район могут устанавливаться иные порядок и условия финансирования. </w:t>
      </w:r>
    </w:p>
    <w:p w:rsidR="00000000" w:rsidRDefault="00080612">
      <w:pPr>
        <w:spacing w:after="0" w:line="240" w:lineRule="auto"/>
        <w:rPr>
          <w:sz w:val="28"/>
          <w:szCs w:val="28"/>
        </w:rPr>
      </w:pPr>
    </w:p>
    <w:p w:rsidR="00000000" w:rsidRDefault="00080612">
      <w:pPr>
        <w:spacing w:after="0" w:line="240" w:lineRule="auto"/>
        <w:rPr>
          <w:sz w:val="28"/>
          <w:szCs w:val="28"/>
        </w:rPr>
      </w:pP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080612">
      <w:pPr>
        <w:spacing w:after="0" w:line="240" w:lineRule="auto"/>
        <w:rPr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424" w:bottom="1134" w:left="1701" w:header="720" w:footer="720" w:gutter="0"/>
          <w:cols w:space="720"/>
          <w:docGrid w:linePitch="600" w:charSpace="40960"/>
        </w:sectPr>
      </w:pPr>
      <w:r>
        <w:rPr>
          <w:sz w:val="28"/>
          <w:szCs w:val="28"/>
        </w:rPr>
        <w:t>Кореновский район                                                                           И.А. Максименко</w:t>
      </w:r>
    </w:p>
    <w:p w:rsidR="00000000" w:rsidRDefault="00080612">
      <w:pPr>
        <w:pageBreakBefore/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  <w:r>
        <w:rPr>
          <w:sz w:val="28"/>
          <w:szCs w:val="28"/>
        </w:rPr>
        <w:t>от 24.05.2024     № 541</w:t>
      </w:r>
    </w:p>
    <w:p w:rsidR="00000000" w:rsidRDefault="00080612">
      <w:pPr>
        <w:tabs>
          <w:tab w:val="clear" w:pos="708"/>
        </w:tabs>
        <w:spacing w:after="0" w:line="240" w:lineRule="auto"/>
        <w:ind w:left="5373"/>
        <w:jc w:val="center"/>
        <w:rPr>
          <w:sz w:val="28"/>
          <w:szCs w:val="28"/>
        </w:rPr>
      </w:pPr>
    </w:p>
    <w:p w:rsidR="00000000" w:rsidRDefault="00080612">
      <w:pPr>
        <w:tabs>
          <w:tab w:val="clear" w:pos="708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НОРМЫ РАСХОДОВ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средств бюджета муниципального образования  Кореновский район  и норм расходов средств на проведение официальных физкультурных</w:t>
      </w:r>
      <w:r>
        <w:rPr>
          <w:sz w:val="28"/>
          <w:szCs w:val="28"/>
        </w:rPr>
        <w:t xml:space="preserve"> мероприятий и спортивных мероприятий, а также участие в межмуниципальных, региональных, межрегиональных, всероссийских и международных физкультурных и спортивных мероприятиях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tabs>
          <w:tab w:val="clear" w:pos="708"/>
          <w:tab w:val="left" w:pos="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 1 НОРМЫ РАСХОДОВ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обеспечение питанием спортсменов, тренеров, предс</w:t>
      </w:r>
      <w:r>
        <w:rPr>
          <w:sz w:val="28"/>
          <w:szCs w:val="28"/>
        </w:rPr>
        <w:t>тавителей и специалистов при проведении, участии в спортивных мероприятиях, проводимых на территории Российской Федерации, а также учебно-тренировочных сборов по подготовке к ним</w:t>
      </w:r>
    </w:p>
    <w:p w:rsidR="00000000" w:rsidRDefault="00080612">
      <w:pPr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Ind w:w="-29" w:type="dxa"/>
        <w:tblLayout w:type="fixed"/>
        <w:tblLook w:val="0000" w:firstRow="0" w:lastRow="0" w:firstColumn="0" w:lastColumn="0" w:noHBand="0" w:noVBand="0"/>
      </w:tblPr>
      <w:tblGrid>
        <w:gridCol w:w="524"/>
        <w:gridCol w:w="5876"/>
        <w:gridCol w:w="3258"/>
      </w:tblGrid>
      <w:tr w:rsidR="0000000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jc w:val="center"/>
            </w:pPr>
            <w:r>
              <w:rPr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 xml:space="preserve">Нормы расходования на одного человека </w:t>
            </w:r>
            <w:r>
              <w:rPr>
                <w:sz w:val="28"/>
                <w:szCs w:val="28"/>
              </w:rPr>
              <w:t>в день (руб.)</w:t>
            </w:r>
          </w:p>
        </w:tc>
      </w:tr>
      <w:tr w:rsidR="00000000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Районные спортивные мероприятия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до 500</w:t>
            </w:r>
          </w:p>
        </w:tc>
      </w:tr>
      <w:tr w:rsidR="0000000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Краевые спортивные мероприятия и УТС по подготовке к ним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до 1200</w:t>
            </w:r>
          </w:p>
        </w:tc>
      </w:tr>
      <w:tr w:rsidR="0000000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rStyle w:val="11"/>
                <w:sz w:val="28"/>
                <w:szCs w:val="28"/>
              </w:rPr>
              <w:t>Международные, всероссийские массовые спортивные соревнования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до 1200</w:t>
            </w:r>
          </w:p>
        </w:tc>
      </w:tr>
      <w:tr w:rsidR="0000000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Учебно-тренировочные сборы по подготовке</w:t>
            </w:r>
          </w:p>
          <w:p w:rsidR="00000000" w:rsidRDefault="00080612">
            <w:pPr>
              <w:spacing w:after="0" w:line="240" w:lineRule="auto"/>
            </w:pPr>
            <w:r>
              <w:rPr>
                <w:sz w:val="28"/>
                <w:szCs w:val="28"/>
              </w:rPr>
              <w:t>к всероссийским</w:t>
            </w:r>
            <w:r>
              <w:rPr>
                <w:sz w:val="28"/>
                <w:szCs w:val="28"/>
              </w:rPr>
              <w:t xml:space="preserve"> соревнованиям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до 1000</w:t>
            </w:r>
          </w:p>
        </w:tc>
      </w:tr>
    </w:tbl>
    <w:p w:rsidR="00000000" w:rsidRDefault="00080612">
      <w:pPr>
        <w:spacing w:after="0" w:line="240" w:lineRule="auto"/>
        <w:rPr>
          <w:sz w:val="28"/>
          <w:szCs w:val="28"/>
        </w:rPr>
      </w:pP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 отсутствии возможностей обеспечения организованного питания в местах проведения спортивных мероприятий по безналичному расчету участникам соревнований разрешается выдавать по ведомости наличными деньгами по норм</w:t>
      </w:r>
      <w:r>
        <w:rPr>
          <w:sz w:val="28"/>
          <w:szCs w:val="28"/>
        </w:rPr>
        <w:t>ам, установленным настоящим приложением.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 проведении централизованных учебно-тренировочных сборов по подготовке к всероссийским соревнованиям на специализированных и</w:t>
      </w:r>
    </w:p>
    <w:p w:rsidR="00000000" w:rsidRDefault="0008061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комплексных спортивных базах норма питания устанавливается в размере стоимости одно</w:t>
      </w:r>
      <w:r>
        <w:rPr>
          <w:sz w:val="28"/>
          <w:szCs w:val="28"/>
        </w:rPr>
        <w:t>го чел./дня пребывания одного участника учебных тренировочных сборов.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 2 НОРМЫ РАСХОДОВ</w:t>
      </w:r>
    </w:p>
    <w:p w:rsidR="00000000" w:rsidRDefault="00080612">
      <w:pPr>
        <w:tabs>
          <w:tab w:val="clear" w:pos="708"/>
        </w:tabs>
        <w:spacing w:after="0" w:line="240" w:lineRule="auto"/>
        <w:jc w:val="center"/>
        <w:rPr>
          <w:sz w:val="2"/>
        </w:rPr>
      </w:pPr>
      <w:r>
        <w:rPr>
          <w:sz w:val="28"/>
          <w:szCs w:val="28"/>
        </w:rPr>
        <w:t>бюджетных средств на проживание и питание спортсменов, тренеров, представителей и специалистов на территории иностранных государств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2684"/>
        <w:gridCol w:w="1675"/>
        <w:gridCol w:w="4562"/>
      </w:tblGrid>
      <w:tr w:rsidR="00000000">
        <w:trPr>
          <w:trHeight w:val="23"/>
        </w:trPr>
        <w:tc>
          <w:tcPr>
            <w:tcW w:w="718" w:type="dxa"/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napToGrid w:val="0"/>
              <w:textAlignment w:val="auto"/>
              <w:rPr>
                <w:rFonts w:eastAsia="Times New Roman" w:cs="Times New Roman"/>
                <w:kern w:val="0"/>
                <w:sz w:val="2"/>
              </w:rPr>
            </w:pPr>
          </w:p>
        </w:tc>
        <w:tc>
          <w:tcPr>
            <w:tcW w:w="2684" w:type="dxa"/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napToGrid w:val="0"/>
              <w:textAlignment w:val="auto"/>
              <w:rPr>
                <w:rFonts w:eastAsia="Times New Roman" w:cs="Times New Roman"/>
                <w:kern w:val="0"/>
                <w:sz w:val="2"/>
              </w:rPr>
            </w:pPr>
          </w:p>
        </w:tc>
        <w:tc>
          <w:tcPr>
            <w:tcW w:w="1675" w:type="dxa"/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napToGrid w:val="0"/>
              <w:textAlignment w:val="auto"/>
              <w:rPr>
                <w:rFonts w:eastAsia="Times New Roman" w:cs="Times New Roman"/>
                <w:kern w:val="0"/>
                <w:sz w:val="2"/>
              </w:rPr>
            </w:pPr>
          </w:p>
        </w:tc>
        <w:tc>
          <w:tcPr>
            <w:tcW w:w="4562" w:type="dxa"/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napToGrid w:val="0"/>
              <w:textAlignment w:val="auto"/>
              <w:rPr>
                <w:rFonts w:eastAsia="Times New Roman" w:cs="Times New Roman"/>
                <w:kern w:val="0"/>
                <w:sz w:val="2"/>
              </w:rPr>
            </w:pP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N п/п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Страны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  <w:rPr>
                <w:rFonts w:eastAsia="Times New Roman" w:cs="Times New Roman"/>
                <w:color w:val="2D2D2D"/>
                <w:kern w:val="0"/>
                <w:sz w:val="24"/>
              </w:rPr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Предель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ная норма возмещения питания в день </w:t>
            </w:r>
          </w:p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(долларов США)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Предельная норма возмещения расходов по найму жилого помещения в сутки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Абхазия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Австралия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Австрия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Азербайджан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75 долларов США в Баку, до 60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Албания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Алжир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Ангола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Андорра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Антигуа и Барбуда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Аргентина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Армения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 в Ереване, до 80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Афганистан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Багамские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Бангладеш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до 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Барбадос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Бахрейн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Белиз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Белоруссия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 в Минске, до 80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Бельгия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евр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Бенин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Бермудские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Болгария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Боливия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Босния и Герцеговина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Ботсвана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Бразилия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Бруней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Буркина-Фасо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29.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Бурунди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Вануату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Великобритания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английских фунтов стерлингов,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до 100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Венгрия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Венесуэла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Вьетнам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Габон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Гаити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Гайана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Гамбия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39.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Гана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Гватемала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Гвинея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Гвинея-Бисау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Германия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200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Гибралтар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Гондурас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Гренада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Греция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Грузия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 в Тбилиси, до 80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49.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до 1300 датских 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крон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Джибути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Содружество Доминики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Доминиканская Республика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Египет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Замбия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Заморские территории Фра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нции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Зимбабве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Израиль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Индия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59.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Индонезия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Иордания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Ирак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Иран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Ирландия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Исландия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Испания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Италия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Йемен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Кабо-Верде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69.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Казах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 в Алма-Ате и Астане, до 70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Каймановы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Камбоджа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Камерун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Канада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Катар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Кипр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Киргизия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 в Бишкеке, до 70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Республика Кирибати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79.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Кита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Китай (Гонконг)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Китай (Тайвань)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Колумбия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Коморские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Конго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Демо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кратическая Республика Конго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Корейская Народно-Демократическая Республика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Республика Корея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180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Коста-Рика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89.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Кот-д'Ивуар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Куба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Кувейт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Лаос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Латвия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 в Риге, до 65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Лесото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Либерия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115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Ливан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Ливия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Литва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 в Вильнюсе, до 115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99.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Лихтенштейн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Люксембург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Маврик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ий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Мавритания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Мадагаскар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Макао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Македония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Малави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Малайзия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Мали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109.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Мальдивы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Мальта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Марокко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Мексика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Мозамбик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Молдавия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 в Кишиневе, до 50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Монако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Монголия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Мьянма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Намибия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119.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Науру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Непал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Нигер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Нигерия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Нидерланды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200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Никарагуа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Новая Зеландия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Новая Каледония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Норвегия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1055 норвежских крон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Объединенные Арабские  Эмираты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129.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Оман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Пакистан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Палау, остров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Палестина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Панама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Папуа-Новая Гвинея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Парагвай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Перу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Польша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Португалия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139.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Пуэрто-Рико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Руанда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Румыния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Сальвадор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Самоа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Сан-Марино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Сан-Томе и Принсипи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Саудовская Аравия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Свазиленд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Сейшельские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149.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Сенегал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Сент-Люсия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Сербия и Черногория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Сингапур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Сирия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Словакия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Словения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Соломоновы Острова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Сомали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Судан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160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159.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Суринам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США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до 350 долларов США в Нью-Йорке, до 260 долларов США 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Сьерра-Леоне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Таджикистан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 в Душанбе, до 80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Таиланд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Танзания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66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Того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Тонга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Тринидад и Тобаго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Тунис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169.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Туркменистан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50 долларов США в Ашхабаде, до 35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Турция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Уганда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Узбекистан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 в Ташкенте, до 40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Украина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 в Киеве, до 100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Уругвай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Фиджи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Филиппины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150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Финляндия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180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Франция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185 евро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179.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Хорватия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Центральноафриканская Республика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 xml:space="preserve">до 100 долларов 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Чад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Чехия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140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Чили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Швейцария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71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270 швейцарских франков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Швеция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2000 шведских крон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186.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Шри-Ланка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62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187.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Эквад</w:t>
            </w:r>
            <w:r>
              <w:rPr>
                <w:rFonts w:eastAsia="Times New Roman" w:cs="Times New Roman"/>
                <w:color w:val="2D2D2D"/>
                <w:kern w:val="0"/>
                <w:sz w:val="24"/>
              </w:rPr>
              <w:t>ор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67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188.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Экваториальная Гвинея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110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189.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Эритрея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190.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Эстония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55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120 долларов США в Таллине, до 60 долларов США на остальной территории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191.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Эфиопия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70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192.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Южная Осетия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54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95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193.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Южно-Африканская Республика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58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100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194.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Ямайка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69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130 долларов США</w:t>
            </w:r>
          </w:p>
        </w:tc>
      </w:tr>
      <w:tr w:rsidR="00000000">
        <w:tblPrEx>
          <w:tblCellMar>
            <w:left w:w="149" w:type="dxa"/>
            <w:right w:w="149" w:type="dxa"/>
          </w:tblCellMar>
        </w:tblPrEx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195.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Япония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  <w:jc w:val="center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83</w:t>
            </w:r>
          </w:p>
        </w:tc>
        <w:tc>
          <w:tcPr>
            <w:tcW w:w="4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080612">
            <w:pPr>
              <w:pStyle w:val="10"/>
              <w:widowControl/>
              <w:suppressAutoHyphens w:val="0"/>
              <w:spacing w:line="315" w:lineRule="atLeast"/>
            </w:pPr>
            <w:r>
              <w:rPr>
                <w:rFonts w:eastAsia="Times New Roman" w:cs="Times New Roman"/>
                <w:color w:val="2D2D2D"/>
                <w:kern w:val="0"/>
                <w:sz w:val="24"/>
              </w:rPr>
              <w:t>до 24000 японских иен</w:t>
            </w:r>
          </w:p>
        </w:tc>
      </w:tr>
    </w:tbl>
    <w:p w:rsidR="00000000" w:rsidRDefault="00080612">
      <w:pPr>
        <w:spacing w:after="0" w:line="240" w:lineRule="auto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№ 3 НОРМЫ РАСХОДОВ 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бюджетных средств на выплату спортивным суд</w:t>
      </w:r>
      <w:r>
        <w:rPr>
          <w:sz w:val="28"/>
          <w:szCs w:val="28"/>
        </w:rPr>
        <w:t>ьям за обслуживание физкультурных и спортивных соревнований</w:t>
      </w:r>
    </w:p>
    <w:p w:rsidR="00000000" w:rsidRDefault="00080612">
      <w:pPr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"/>
        <w:gridCol w:w="533"/>
        <w:gridCol w:w="45"/>
        <w:gridCol w:w="3344"/>
        <w:gridCol w:w="17"/>
        <w:gridCol w:w="1505"/>
        <w:gridCol w:w="45"/>
        <w:gridCol w:w="1252"/>
        <w:gridCol w:w="1529"/>
        <w:gridCol w:w="55"/>
        <w:gridCol w:w="1226"/>
        <w:gridCol w:w="67"/>
      </w:tblGrid>
      <w:tr w:rsidR="00000000">
        <w:trPr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5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выплат с учетом судейских категорий из расчета одного соревновательного дня </w:t>
            </w:r>
          </w:p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(в рублях)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trHeight w:val="420"/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pStyle w:val="10"/>
              <w:snapToGrid w:val="0"/>
              <w:rPr>
                <w:szCs w:val="28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</w:pPr>
          </w:p>
        </w:tc>
        <w:tc>
          <w:tcPr>
            <w:tcW w:w="3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МК,ВК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1,2,3 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С/С,С/Ст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Ю/С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00000">
        <w:trPr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550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Главный судья-секретарь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550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470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430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Заместитель главного судьи, главного секретаря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530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430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jc w:val="right"/>
        </w:trPr>
        <w:tc>
          <w:tcPr>
            <w:tcW w:w="61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Судьи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400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350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300</w:t>
            </w:r>
          </w:p>
        </w:tc>
        <w:tc>
          <w:tcPr>
            <w:tcW w:w="67" w:type="dxa"/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Условные обозначения:                                               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МК- меж</w:t>
      </w:r>
      <w:r>
        <w:rPr>
          <w:sz w:val="28"/>
          <w:szCs w:val="28"/>
        </w:rPr>
        <w:t xml:space="preserve">дународная категория                                   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ВК – всероссийская категория                                      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1,2,3 к- спортивный судья первой, второй, третий категории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С/С – судья по спорту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С/Ст – судья-стартер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Ю/С- юный спортивный судья.</w:t>
      </w: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</w:rPr>
        <w:t>мечание:</w:t>
      </w:r>
    </w:p>
    <w:p w:rsidR="00000000" w:rsidRDefault="000806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 подготовительном и заключительных этапах соревнований материальное обеспечение (проживание, оплата работы) главному судье, главному судье-секретарю увеличивается дополнительно на 1 день, заместителю главного судьи и заместителю главного судь</w:t>
      </w:r>
      <w:r>
        <w:rPr>
          <w:sz w:val="28"/>
          <w:szCs w:val="28"/>
        </w:rPr>
        <w:t>и-секретаря соответственно на 1 день.</w:t>
      </w:r>
    </w:p>
    <w:p w:rsidR="00000000" w:rsidRDefault="000806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Проводящие организации имеют право за счет собственных, спонсорских средств, а также заявочных взносов производить доплату к установленным настоящим приложением размерам выплат спортивным судьям.     </w:t>
      </w:r>
    </w:p>
    <w:p w:rsidR="00000000" w:rsidRDefault="000806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Количествен</w:t>
      </w:r>
      <w:r>
        <w:rPr>
          <w:sz w:val="28"/>
          <w:szCs w:val="28"/>
        </w:rPr>
        <w:t>ный состав судейских коллегий (бригад) определяется согласно утверждённым правилам соревнований по видам спорта, утвержденным квалификационным требованиям к спортивным судьям по видам спорта.</w:t>
      </w:r>
    </w:p>
    <w:p w:rsidR="00000000" w:rsidRDefault="000806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Судьи, командируемые в составе команд, для участия в соревнов</w:t>
      </w:r>
      <w:r>
        <w:rPr>
          <w:sz w:val="28"/>
          <w:szCs w:val="28"/>
        </w:rPr>
        <w:t>аниях за пределами Краснодарского края обеспечиваются питанием как участники спортивных мероприятий, при отсутствии оплаты за судейство на соревнованиях.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№ 4 НОРМЫ РАСХОДОВ </w:t>
      </w:r>
    </w:p>
    <w:p w:rsidR="00000000" w:rsidRDefault="00080612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бюджетных </w:t>
      </w:r>
      <w:r>
        <w:t xml:space="preserve">средств на приобретение переходящих, памятных и денежных призов </w:t>
      </w:r>
      <w:r>
        <w:t xml:space="preserve">и другой наградной атрибутики при проведении спортивных мероприятий     </w:t>
      </w:r>
    </w:p>
    <w:tbl>
      <w:tblPr>
        <w:tblW w:w="0" w:type="auto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2394"/>
        <w:gridCol w:w="1562"/>
        <w:gridCol w:w="1279"/>
        <w:gridCol w:w="1131"/>
        <w:gridCol w:w="1276"/>
        <w:gridCol w:w="1417"/>
      </w:tblGrid>
      <w:tr w:rsidR="00000000">
        <w:tc>
          <w:tcPr>
            <w:tcW w:w="6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000000" w:rsidRDefault="00080612">
            <w:pPr>
              <w:pStyle w:val="a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спортивных мероприятий</w:t>
            </w:r>
          </w:p>
        </w:tc>
        <w:tc>
          <w:tcPr>
            <w:tcW w:w="2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Стоимость переходящих, памятных и денежных призов (в рублях)</w:t>
            </w:r>
          </w:p>
        </w:tc>
        <w:tc>
          <w:tcPr>
            <w:tcW w:w="3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другой наградной атрибутики </w:t>
            </w:r>
          </w:p>
          <w:p w:rsidR="00000000" w:rsidRDefault="00080612">
            <w:pPr>
              <w:pStyle w:val="af"/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(в рублях)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"/>
        </w:trPr>
        <w:tc>
          <w:tcPr>
            <w:tcW w:w="6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080612">
            <w:pPr>
              <w:snapToGrid w:val="0"/>
            </w:pPr>
          </w:p>
        </w:tc>
        <w:tc>
          <w:tcPr>
            <w:tcW w:w="2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080612">
            <w:pPr>
              <w:snapToGrid w:val="0"/>
            </w:pP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line="240" w:lineRule="auto"/>
              <w:jc w:val="center"/>
            </w:pPr>
            <w:r>
              <w:rPr>
                <w:sz w:val="24"/>
                <w:szCs w:val="24"/>
              </w:rPr>
              <w:t>командные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line="240" w:lineRule="auto"/>
              <w:jc w:val="center"/>
            </w:pPr>
            <w:r>
              <w:rPr>
                <w:sz w:val="24"/>
                <w:szCs w:val="24"/>
              </w:rPr>
              <w:t>личные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line="240" w:lineRule="auto"/>
              <w:jc w:val="center"/>
            </w:pPr>
            <w:r>
              <w:rPr>
                <w:sz w:val="24"/>
                <w:szCs w:val="24"/>
              </w:rPr>
              <w:t>кубки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line="240" w:lineRule="auto"/>
              <w:jc w:val="center"/>
            </w:pPr>
            <w:r>
              <w:rPr>
                <w:sz w:val="24"/>
                <w:szCs w:val="24"/>
              </w:rPr>
              <w:t>мед</w:t>
            </w:r>
            <w:r>
              <w:rPr>
                <w:sz w:val="24"/>
                <w:szCs w:val="24"/>
              </w:rPr>
              <w:t>али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line="240" w:lineRule="auto"/>
              <w:jc w:val="center"/>
            </w:pPr>
            <w:r>
              <w:rPr>
                <w:sz w:val="24"/>
                <w:szCs w:val="24"/>
              </w:rPr>
              <w:t>грамоты, дипломы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соревнования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место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III место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3300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3100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2000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3000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250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200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место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III мес</w:t>
            </w:r>
            <w:r>
              <w:rPr>
                <w:sz w:val="24"/>
                <w:szCs w:val="24"/>
              </w:rPr>
              <w:t>то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1600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1300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1600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10"/>
              <w:snapToGrid w:val="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250</w:t>
            </w: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250</w:t>
            </w:r>
          </w:p>
          <w:p w:rsidR="00000000" w:rsidRDefault="00080612">
            <w:pPr>
              <w:pStyle w:val="10"/>
            </w:pPr>
            <w:r>
              <w:rPr>
                <w:sz w:val="24"/>
              </w:rPr>
              <w:t>до 250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10"/>
              <w:snapToGrid w:val="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200</w:t>
            </w: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200</w:t>
            </w:r>
          </w:p>
          <w:p w:rsidR="00000000" w:rsidRDefault="00080612">
            <w:pPr>
              <w:pStyle w:val="10"/>
            </w:pPr>
            <w:r>
              <w:rPr>
                <w:sz w:val="24"/>
              </w:rPr>
              <w:t>до 200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соревнования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место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III место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2500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2100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2500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10"/>
              <w:snapToGrid w:val="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250</w:t>
            </w: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250</w:t>
            </w:r>
          </w:p>
          <w:p w:rsidR="00000000" w:rsidRDefault="00080612">
            <w:pPr>
              <w:pStyle w:val="10"/>
            </w:pPr>
            <w:r>
              <w:rPr>
                <w:sz w:val="24"/>
              </w:rPr>
              <w:t>до 250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10"/>
              <w:snapToGrid w:val="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200</w:t>
            </w:r>
          </w:p>
          <w:p w:rsidR="00000000" w:rsidRDefault="00080612">
            <w:pPr>
              <w:pStyle w:val="10"/>
              <w:rPr>
                <w:sz w:val="24"/>
              </w:rPr>
            </w:pPr>
            <w:r>
              <w:rPr>
                <w:sz w:val="24"/>
              </w:rPr>
              <w:t>до 200</w:t>
            </w:r>
          </w:p>
          <w:p w:rsidR="00000000" w:rsidRDefault="00080612">
            <w:pPr>
              <w:pStyle w:val="10"/>
            </w:pPr>
            <w:r>
              <w:rPr>
                <w:sz w:val="24"/>
              </w:rPr>
              <w:t>до 200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napToGrid w:val="0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</w:pPr>
            <w:r>
              <w:rPr>
                <w:sz w:val="24"/>
                <w:szCs w:val="24"/>
              </w:rPr>
              <w:t>Специальные призы</w:t>
            </w:r>
          </w:p>
        </w:tc>
        <w:tc>
          <w:tcPr>
            <w:tcW w:w="66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 5000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соревнования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место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место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III место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2100</w:t>
            </w:r>
          </w:p>
        </w:tc>
        <w:tc>
          <w:tcPr>
            <w:tcW w:w="12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1000</w:t>
            </w:r>
          </w:p>
        </w:tc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2500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2300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2100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350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</w:t>
            </w:r>
          </w:p>
          <w:p w:rsidR="00000000" w:rsidRDefault="00080612">
            <w:pPr>
              <w:pStyle w:val="a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350</w:t>
            </w:r>
          </w:p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4"/>
                <w:szCs w:val="24"/>
              </w:rPr>
              <w:t>до 350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34"/>
        </w:trPr>
        <w:tc>
          <w:tcPr>
            <w:tcW w:w="6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napToGrid w:val="0"/>
            </w:pPr>
          </w:p>
        </w:tc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</w:pPr>
            <w:r>
              <w:rPr>
                <w:sz w:val="24"/>
                <w:szCs w:val="24"/>
              </w:rPr>
              <w:t>Спе</w:t>
            </w:r>
            <w:r>
              <w:rPr>
                <w:sz w:val="24"/>
                <w:szCs w:val="24"/>
              </w:rPr>
              <w:t>циальные призы</w:t>
            </w:r>
          </w:p>
        </w:tc>
        <w:tc>
          <w:tcPr>
            <w:tcW w:w="66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до 5000</w:t>
            </w:r>
          </w:p>
        </w:tc>
      </w:tr>
    </w:tbl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000000" w:rsidRDefault="00080612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В личных соревнованиях, игровых командных видах спорта и командных дисциплинах участники, команды и тренеры, занявшие 1-3 места, награждаются в соответствии с положением о районных, городских и поселковых соревнованиях.</w:t>
      </w:r>
    </w:p>
    <w:p w:rsidR="00000000" w:rsidRDefault="00080612">
      <w:pPr>
        <w:spacing w:after="0" w:line="240" w:lineRule="auto"/>
        <w:jc w:val="center"/>
        <w:rPr>
          <w:sz w:val="28"/>
          <w:szCs w:val="28"/>
          <w:highlight w:val="white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Таблица № 5 НОРМА РАСХОДОВ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highlight w:val="white"/>
        </w:rPr>
        <w:t>бюджетных средств на страхование участников спортивных мероприятий</w:t>
      </w: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Страхование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8"/>
                <w:szCs w:val="28"/>
              </w:rPr>
              <w:t>Стоимость услуг страхования на 1 человека в день (в рублях в сутки)</w:t>
            </w:r>
          </w:p>
        </w:tc>
      </w:tr>
      <w:tr w:rsidR="00000000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8"/>
                <w:szCs w:val="28"/>
              </w:rPr>
              <w:t>Страхование участников спортивных мероприятий на территории РФ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pStyle w:val="af"/>
              <w:spacing w:after="0" w:line="240" w:lineRule="auto"/>
            </w:pPr>
            <w:r>
              <w:rPr>
                <w:sz w:val="28"/>
                <w:szCs w:val="28"/>
              </w:rPr>
              <w:t xml:space="preserve">до 150 рублей </w:t>
            </w:r>
          </w:p>
        </w:tc>
      </w:tr>
      <w:tr w:rsidR="00000000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pStyle w:val="10"/>
            </w:pPr>
            <w:r>
              <w:t>С</w:t>
            </w:r>
            <w:r>
              <w:t>трахование участников спортивных мероприятий, проводимых за рубежом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pStyle w:val="10"/>
            </w:pPr>
            <w:r>
              <w:t>по фактическим расходам</w:t>
            </w:r>
          </w:p>
        </w:tc>
      </w:tr>
    </w:tbl>
    <w:p w:rsidR="00000000" w:rsidRDefault="00080612">
      <w:pPr>
        <w:spacing w:after="0" w:line="240" w:lineRule="auto"/>
        <w:jc w:val="center"/>
        <w:rPr>
          <w:sz w:val="28"/>
          <w:szCs w:val="28"/>
        </w:rPr>
      </w:pP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 6 НОРМЫ РАСХОДОВ</w:t>
      </w:r>
    </w:p>
    <w:p w:rsidR="00000000" w:rsidRDefault="0008061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бюджетных средств по оплате обслуживающего персонала при проведении спортивных мероприятий</w:t>
      </w:r>
    </w:p>
    <w:tbl>
      <w:tblPr>
        <w:tblW w:w="0" w:type="auto"/>
        <w:tblInd w:w="-29" w:type="dxa"/>
        <w:tblLayout w:type="fixed"/>
        <w:tblLook w:val="0000" w:firstRow="0" w:lastRow="0" w:firstColumn="0" w:lastColumn="0" w:noHBand="0" w:noVBand="0"/>
      </w:tblPr>
      <w:tblGrid>
        <w:gridCol w:w="420"/>
        <w:gridCol w:w="5850"/>
        <w:gridCol w:w="3527"/>
      </w:tblGrid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Обслуживающий персонал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Норма расходов на 1</w:t>
            </w:r>
            <w:r>
              <w:rPr>
                <w:sz w:val="28"/>
                <w:szCs w:val="28"/>
              </w:rPr>
              <w:t xml:space="preserve"> чел. в  день (в рубля)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480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410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Комендант УТС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410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Начальник УТС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410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Радист, художник, машинистка, фотограф и другие специалисты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390</w:t>
            </w:r>
          </w:p>
        </w:tc>
      </w:tr>
      <w:tr w:rsidR="00000000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80612">
            <w:pPr>
              <w:snapToGrid w:val="0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до 380</w:t>
            </w:r>
          </w:p>
        </w:tc>
      </w:tr>
    </w:tbl>
    <w:p w:rsidR="00000000" w:rsidRDefault="00080612">
      <w:pPr>
        <w:spacing w:after="0" w:line="240" w:lineRule="auto"/>
      </w:pPr>
    </w:p>
    <w:p w:rsidR="00000000" w:rsidRDefault="00080612">
      <w:pPr>
        <w:spacing w:after="0" w:line="240" w:lineRule="auto"/>
        <w:rPr>
          <w:sz w:val="28"/>
          <w:szCs w:val="28"/>
        </w:rPr>
      </w:pPr>
    </w:p>
    <w:p w:rsidR="00000000" w:rsidRDefault="0008061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080612">
      <w:pPr>
        <w:spacing w:after="0" w:line="240" w:lineRule="auto"/>
        <w:rPr>
          <w:rStyle w:val="11"/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rStyle w:val="11"/>
          <w:sz w:val="28"/>
          <w:szCs w:val="28"/>
        </w:rPr>
        <w:t xml:space="preserve">образования </w:t>
      </w:r>
    </w:p>
    <w:p w:rsidR="00000000" w:rsidRDefault="00080612">
      <w:pPr>
        <w:spacing w:after="0" w:line="240" w:lineRule="auto"/>
      </w:pPr>
      <w:r>
        <w:rPr>
          <w:rStyle w:val="11"/>
          <w:sz w:val="28"/>
          <w:szCs w:val="28"/>
        </w:rPr>
        <w:t xml:space="preserve">Кореновский </w:t>
      </w:r>
      <w:r>
        <w:rPr>
          <w:rStyle w:val="11"/>
          <w:sz w:val="28"/>
          <w:szCs w:val="28"/>
        </w:rPr>
        <w:t xml:space="preserve"> район                                                                        </w:t>
      </w:r>
      <w:r>
        <w:rPr>
          <w:sz w:val="28"/>
          <w:szCs w:val="28"/>
        </w:rPr>
        <w:t>И.А. Максименко</w:t>
      </w:r>
    </w:p>
    <w:sectPr w:rsidR="00000000">
      <w:headerReference w:type="even" r:id="rId13"/>
      <w:headerReference w:type="default" r:id="rId14"/>
      <w:headerReference w:type="first" r:id="rId15"/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0612">
      <w:pPr>
        <w:spacing w:after="0" w:line="240" w:lineRule="auto"/>
      </w:pPr>
      <w:r>
        <w:separator/>
      </w:r>
    </w:p>
  </w:endnote>
  <w:endnote w:type="continuationSeparator" w:id="0">
    <w:p w:rsidR="00000000" w:rsidRDefault="0008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0612">
      <w:pPr>
        <w:spacing w:after="0" w:line="240" w:lineRule="auto"/>
      </w:pPr>
      <w:r>
        <w:separator/>
      </w:r>
    </w:p>
  </w:footnote>
  <w:footnote w:type="continuationSeparator" w:id="0">
    <w:p w:rsidR="00000000" w:rsidRDefault="0008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>
    <w:pPr>
      <w:pStyle w:val="a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>
    <w:pPr>
      <w:pStyle w:val="af3"/>
      <w:jc w:val="center"/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 PAGE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7</w:t>
    </w:r>
    <w:r>
      <w:rPr>
        <w:rStyle w:val="11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>
    <w:pPr>
      <w:pStyle w:val="af3"/>
      <w:jc w:val="center"/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 PAGE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16</w:t>
    </w:r>
    <w:r>
      <w:rPr>
        <w:rStyle w:val="11"/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6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612"/>
    <w:rsid w:val="000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5D2150B-82F9-4A9A-9FB6-2EE298C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</w:pPr>
    <w:rPr>
      <w:color w:val="00000A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widowControl/>
      <w:numPr>
        <w:ilvl w:val="2"/>
        <w:numId w:val="1"/>
      </w:numPr>
      <w:suppressAutoHyphens w:val="0"/>
      <w:spacing w:before="100" w:after="100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basedOn w:val="11"/>
    <w:rPr>
      <w:rFonts w:ascii="Tahoma" w:eastAsia="Tahoma" w:hAnsi="Tahoma" w:cs="Tahoma"/>
      <w:sz w:val="16"/>
      <w:szCs w:val="16"/>
    </w:rPr>
  </w:style>
  <w:style w:type="character" w:customStyle="1" w:styleId="30">
    <w:name w:val="Заголовок 3 Знак"/>
    <w:basedOn w:val="11"/>
    <w:rPr>
      <w:rFonts w:eastAsia="Times New Roman" w:cs="Times New Roman"/>
      <w:b/>
      <w:bCs/>
      <w:kern w:val="0"/>
      <w:sz w:val="27"/>
      <w:szCs w:val="27"/>
    </w:rPr>
  </w:style>
  <w:style w:type="character" w:customStyle="1" w:styleId="12">
    <w:name w:val="Заголовок 1 Знак"/>
    <w:basedOn w:val="11"/>
    <w:rPr>
      <w:rFonts w:eastAsia="Times New Roman" w:cs="Times New Roman"/>
      <w:b/>
      <w:color w:val="00000A"/>
      <w:kern w:val="0"/>
      <w:sz w:val="44"/>
      <w:szCs w:val="20"/>
      <w:lang w:eastAsia="zh-CN"/>
    </w:rPr>
  </w:style>
  <w:style w:type="character" w:customStyle="1" w:styleId="21">
    <w:name w:val="Заголовок 2 Знак"/>
    <w:basedOn w:val="11"/>
    <w:rPr>
      <w:rFonts w:eastAsia="Times New Roman" w:cs="Times New Roman"/>
      <w:b/>
      <w:color w:val="00000A"/>
      <w:kern w:val="0"/>
      <w:sz w:val="24"/>
      <w:szCs w:val="20"/>
      <w:lang w:eastAsia="zh-CN"/>
    </w:rPr>
  </w:style>
  <w:style w:type="character" w:customStyle="1" w:styleId="40">
    <w:name w:val="Заголовок 4 Знак"/>
    <w:basedOn w:val="11"/>
    <w:rPr>
      <w:rFonts w:eastAsia="Times New Roman" w:cs="Times New Roman"/>
      <w:b/>
      <w:color w:val="00000A"/>
      <w:kern w:val="0"/>
      <w:sz w:val="48"/>
      <w:szCs w:val="20"/>
      <w:lang w:eastAsia="zh-CN"/>
    </w:rPr>
  </w:style>
  <w:style w:type="character" w:customStyle="1" w:styleId="13">
    <w:name w:val="Гиперссылка1"/>
    <w:basedOn w:val="11"/>
    <w:rPr>
      <w:color w:val="0000FF"/>
      <w:u w:val="single"/>
    </w:rPr>
  </w:style>
  <w:style w:type="character" w:customStyle="1" w:styleId="14">
    <w:name w:val="Просмотренная гиперссылка1"/>
    <w:basedOn w:val="11"/>
    <w:rPr>
      <w:color w:val="800080"/>
      <w:u w:val="single"/>
    </w:rPr>
  </w:style>
  <w:style w:type="character" w:customStyle="1" w:styleId="a6">
    <w:name w:val="Нижний колонтитул Знак"/>
    <w:basedOn w:val="11"/>
  </w:style>
  <w:style w:type="character" w:customStyle="1" w:styleId="a7">
    <w:name w:val="Верхний колонтитул Знак"/>
    <w:basedOn w:val="11"/>
    <w:rPr>
      <w:rFonts w:eastAsia="Times New Roman" w:cs="Times New Roman"/>
      <w:color w:val="00000A"/>
      <w:kern w:val="0"/>
      <w:sz w:val="20"/>
      <w:szCs w:val="20"/>
      <w:lang w:eastAsia="zh-CN"/>
    </w:rPr>
  </w:style>
  <w:style w:type="character" w:customStyle="1" w:styleId="DefaultParagraphFont">
    <w:name w:val="Default Paragraph Font"/>
  </w:style>
  <w:style w:type="character" w:customStyle="1" w:styleId="a8">
    <w:name w:val="Гипертекстовая ссылка"/>
    <w:basedOn w:val="DefaultParagraphFont"/>
    <w:rPr>
      <w:rFonts w:cs="Times New Roman"/>
      <w:color w:val="106BBE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paragraph" w:customStyle="1" w:styleId="15">
    <w:name w:val="Заголовок1"/>
    <w:basedOn w:val="a"/>
    <w:next w:val="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DejaVu Sans"/>
      <w:kern w:val="2"/>
      <w:sz w:val="28"/>
      <w:szCs w:val="24"/>
      <w:lang w:eastAsia="zh-C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ac">
    <w:name w:val="Subtitle"/>
    <w:basedOn w:val="16"/>
    <w:next w:val="a0"/>
    <w:qFormat/>
    <w:pPr>
      <w:jc w:val="center"/>
    </w:p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spacing w:after="0"/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ae">
    <w:name w:val="Блочная цитата"/>
    <w:basedOn w:val="a"/>
    <w:pPr>
      <w:tabs>
        <w:tab w:val="clear" w:pos="708"/>
      </w:tabs>
      <w:spacing w:after="0"/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spacing w:after="0"/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0"/>
    <w:rPr>
      <w:rFonts w:ascii="Tahoma" w:eastAsia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lear" w:pos="708"/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lear" w:pos="708"/>
        <w:tab w:val="center" w:pos="4819"/>
        <w:tab w:val="right" w:pos="9638"/>
      </w:tabs>
    </w:pPr>
  </w:style>
  <w:style w:type="paragraph" w:customStyle="1" w:styleId="headertext">
    <w:name w:val="headertext"/>
    <w:basedOn w:val="1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sz w:val="24"/>
    </w:rPr>
  </w:style>
  <w:style w:type="paragraph" w:customStyle="1" w:styleId="formattext">
    <w:name w:val="formattext"/>
    <w:basedOn w:val="1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sz w:val="24"/>
    </w:rPr>
  </w:style>
  <w:style w:type="paragraph" w:styleId="af4">
    <w:name w:val="Normal (Web)"/>
    <w:basedOn w:val="1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sz w:val="24"/>
    </w:rPr>
  </w:style>
  <w:style w:type="paragraph" w:styleId="af5">
    <w:name w:val="footer"/>
    <w:basedOn w:val="10"/>
    <w:pPr>
      <w:tabs>
        <w:tab w:val="center" w:pos="4677"/>
        <w:tab w:val="right" w:pos="9355"/>
      </w:tabs>
    </w:p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4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6">
    <w:name w:val="Информация об изменениях"/>
    <w:basedOn w:val="a"/>
    <w:pPr>
      <w:spacing w:before="180"/>
      <w:ind w:left="360" w:right="360"/>
    </w:pPr>
    <w:rPr>
      <w:color w:val="353842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/>
      <w:kern w:val="2"/>
      <w:sz w:val="24"/>
      <w:szCs w:val="24"/>
      <w:lang w:eastAsia="zh-CN" w:bidi="hi-IN"/>
    </w:rPr>
  </w:style>
  <w:style w:type="paragraph" w:customStyle="1" w:styleId="23">
    <w:name w:val="Заголовок №2"/>
    <w:basedOn w:val="Standard"/>
    <w:pPr>
      <w:spacing w:before="1560" w:line="320" w:lineRule="exact"/>
      <w:jc w:val="center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4408</Words>
  <Characters>25126</Characters>
  <Application>Microsoft Office Word</Application>
  <DocSecurity>0</DocSecurity>
  <Lines>209</Lines>
  <Paragraphs>58</Paragraphs>
  <ScaleCrop>false</ScaleCrop>
  <Company>SPecialiST RePack</Company>
  <LinksUpToDate>false</LinksUpToDate>
  <CharactersWithSpaces>29476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user</cp:lastModifiedBy>
  <cp:revision>2</cp:revision>
  <cp:lastPrinted>2024-09-02T13:41:00Z</cp:lastPrinted>
  <dcterms:created xsi:type="dcterms:W3CDTF">2024-09-05T06:46:00Z</dcterms:created>
  <dcterms:modified xsi:type="dcterms:W3CDTF">2024-09-05T06:46:00Z</dcterms:modified>
</cp:coreProperties>
</file>