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right="-284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2663190</wp:posOffset>
            </wp:positionH>
            <wp:positionV relativeFrom="paragraph">
              <wp:posOffset>-501015</wp:posOffset>
            </wp:positionV>
            <wp:extent cx="589915" cy="77089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77089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2850" w:leader="none"/>
        </w:tabs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hanging="0"/>
        <w:textAlignment w:val="baseline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 xml:space="preserve">от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11.07.2024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 xml:space="preserve"> </w:t>
        <w:tab/>
        <w:tab/>
        <w:tab/>
        <w:t xml:space="preserve">    </w:t>
        <w:tab/>
        <w:tab/>
      </w: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ab/>
        <w:tab/>
        <w:tab/>
        <w:t xml:space="preserve">            </w:t>
        <w:tab/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 xml:space="preserve">№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791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>г. Кореновск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2020-2026 годы»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2 ноября 2023 года № 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Кореновский район» администрация                     муниципального образования Кореновский район п о с т а н о в л я е т: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2. Признать утратившим силу постановления администрации                         муниципального образования Кореновский район от 25 июня 2024 года №665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ab/>
        <w:t xml:space="preserve">3.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 опубликовать официально настоящее постановление и разместить в </w:t>
      </w:r>
      <w:r>
        <w:rPr>
          <w:rFonts w:eastAsia="Calibri" w:cs="Times New Roman"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Кореновский район                                                                             Б.И. Сторчун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от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zh-CN"/>
              </w:rPr>
              <w:t>11.07.2024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791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от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>11.07.2024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791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/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right="-284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4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ind w:right="-284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ind w:right="-284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uppressAutoHyphens w:val="true"/>
        <w:spacing w:lineRule="auto" w:line="240" w:before="0" w:after="0"/>
        <w:ind w:right="-284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обеспечение выполнение муниципальных услуг в области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9 390 397,6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6 133 693,6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715 209,0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677 479,4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811 094,4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861 121,1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1 114 809,0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957 473,7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996 507,0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           667 642,4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996,3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69 491,8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129 828,0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67 142,6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259 422,7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69 886,0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70 875,0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2 586 802, 5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329 597,1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384 324,2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470 863,7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465 907,3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589 078,2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340 584,9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6 447,1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2 259,2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eastAsia="Calibri" w:cs="Times New Roman" w:ascii="Times New Roman" w:hAnsi="Times New Roman"/>
          <w:sz w:val="28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  <w:sz w:val="28"/>
        </w:rPr>
        <w:tab/>
        <w:t>О</w:t>
      </w:r>
      <w:r>
        <w:rPr>
          <w:rFonts w:eastAsia="Calibri" w:cs="Times New Roman" w:ascii="Times New Roman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9"/>
        <w:gridCol w:w="1417"/>
        <w:gridCol w:w="1416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9"/>
        <w:gridCol w:w="1446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8557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9408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здоровья.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0" w:name="OLE_LINK22"/>
            <w:bookmarkStart w:id="1" w:name="OLE_LINK12"/>
            <w:bookmarkEnd w:id="0"/>
            <w:bookmarkEnd w:id="1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52,8 %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муниципальной программы: 2020–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uppressAutoHyphens w:val="true"/>
        <w:spacing w:lineRule="auto" w:line="240" w:before="0" w:after="0"/>
        <w:ind w:right="-284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 </w:t>
      </w:r>
      <w:r>
        <w:rPr>
          <w:rFonts w:eastAsia="Calibri" w:cs="Times New Roman" w:ascii="Times New Roman" w:hAnsi="Times New Roman"/>
          <w:sz w:val="28"/>
        </w:rPr>
        <w:t>Перечень и краткое описание подпрограмм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Мероприятия м</w:t>
      </w:r>
      <w:r>
        <w:rPr>
          <w:rFonts w:eastAsia="Calibri" w:cs="Times New Roman" w:ascii="Times New Roman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(направлена 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eastAsia="Calibri"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(направленна на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eastAsia="Calibri" w:cs="Times New Roman" w:ascii="Times New Roman" w:hAnsi="Times New Roman"/>
          <w:sz w:val="28"/>
          <w:szCs w:val="28"/>
        </w:rPr>
        <w:t xml:space="preserve">» (направлена на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5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1138"/>
        <w:gridCol w:w="1419"/>
        <w:gridCol w:w="849"/>
        <w:gridCol w:w="852"/>
        <w:gridCol w:w="849"/>
        <w:gridCol w:w="852"/>
        <w:gridCol w:w="849"/>
        <w:gridCol w:w="711"/>
        <w:gridCol w:w="707"/>
      </w:tblGrid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3" w:right="-63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ind w:left="-3" w:right="-63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2026 годы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9390397,6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1114809,0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938011,8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976142,5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259422,7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69886,0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70875,0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589078,2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340584,9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1963309,8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1348482,7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1053464,6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sz w:val="28"/>
              </w:rPr>
              <w:t>в том числе:</w:t>
            </w:r>
          </w:p>
        </w:tc>
        <w:tc>
          <w:tcPr>
            <w:tcW w:w="8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7243457,8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876348,0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804949,1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853878,0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45186,1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360910,3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1282444,4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1120060,0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892375,2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1300868,0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145599,4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59073,0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46710,1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214236,6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31550,8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32377,8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190396,9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550232,9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114183,3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85535,0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541757,9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80114,6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81461,0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81404,6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82874,0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304313,9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12747,0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11990,6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36480,9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49227,9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50827,3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6. Методика оценки эффективности реализации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муниципальной 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«Развитие образования»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zh-CN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right="-108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обеспечение выполнение муниципальных услуг в области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реализация механизмов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right="-108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right="-108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7 243 457,8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в том числе: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               231 527,7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33 669,7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35 967,9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39 871,6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45 186,1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38 335,2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38 497,2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– 5 118 129,9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583 724,7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586 134,0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661 236,9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751 859,2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876 348,0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804 949,1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853 878,0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 1 893 800,2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252 323,6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290 794,9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361 377,2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351 618,5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360 910,3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276 775,7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36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совершенствование содержания и технологий образования;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профессионального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eastAsia="Calibri" w:cs="Times New Roman"/>
        </w:rPr>
        <w:t> 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2.1. Основная цель Подпрограммы –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реализация механизмов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 w:right="-1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uppressAutoHyphens w:val="true"/>
        <w:spacing w:lineRule="auto" w:line="240" w:before="0" w:after="0"/>
        <w:ind w:firstLine="708" w:right="-1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uppressAutoHyphens w:val="true"/>
        <w:spacing w:lineRule="auto" w:line="240" w:before="0" w:after="0"/>
        <w:ind w:firstLine="708" w:right="-1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uppressAutoHyphens w:val="true"/>
        <w:spacing w:lineRule="atLeast" w:line="200" w:before="0" w:after="0"/>
        <w:ind w:firstLine="708" w:right="-1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7243457,8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876348,0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804949,1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853878,0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45186,1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360910,3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3"/>
        <w:gridCol w:w="5357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» муниципальной программы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tbl>
      <w:tblPr>
        <w:tblpPr w:vertAnchor="text" w:horzAnchor="text" w:leftFromText="180" w:rightFromText="180" w:tblpX="-714" w:tblpY="1"/>
        <w:tblOverlap w:val="never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6848833,7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1215742,0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1062528,8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847297,8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/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5066414,7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870850,4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799374,6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847297,8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1782419,0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344891,6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организациях, обеспечение дополнительного образования детей и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3873479,5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681365,1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597017,3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530367,9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3211494,5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555467,7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499390,9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530367,9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661985,0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126489,3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125897,4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2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2646736,9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474620,5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428528,9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316929,9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1854920,2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315382,7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299983,7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316929,9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791816,7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159237,8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316362,8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58451,3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316362,8</w:t>
            </w:r>
          </w:p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58451,3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12254,5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12254,5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Реализация механизмов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17721,2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17721,2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33020,8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33020,8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eastAsia="Calibri" w:cs="Times New Roman" w:ascii="Times New Roman CYR" w:hAnsi="Times New Roman CYR"/>
                <w:sz w:val="28"/>
                <w:szCs w:val="28"/>
                <w:shd w:fill="FFFFFF" w:val="clear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основного общего и среднего общего образования, компенсация за </w:t>
            </w:r>
            <w:r>
              <w:rPr>
                <w:rFonts w:eastAsia="Calibri" w:cs="Times New Roman" w:ascii="Times New Roman CYR" w:hAnsi="Times New Roman CYR"/>
                <w:sz w:val="28"/>
                <w:szCs w:val="28"/>
                <w:shd w:fill="FFFFFF" w:val="clear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22497,0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2512,8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Отношение среднего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22497,0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2512,8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2023, 2024,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учащихся 10-х классов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в общей численности учащихся;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2) обеспечение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муниципальных, акций,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участие во всероссийских и краевых акциях конкурсах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26389,4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4571,3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оздоровления от общей численности детей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16111,5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10277,9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24021,4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Удельный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16207,3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7909,9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образовательных организациях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33222,5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33222,5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2020,2021,2022,2024,</w:t>
            </w:r>
          </w:p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10581,4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10581,4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219517,1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39164,2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11223,2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208293,9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39164,2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21898,3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6268,3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2023,2024,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lang w:eastAsia="zh-CN"/>
              </w:rPr>
              <w:t xml:space="preserve">Обеспечение образовательного и </w:t>
            </w:r>
            <w:r>
              <w:rPr>
                <w:rFonts w:cs="Times New Roman" w:ascii="Times New Roman" w:hAnsi="Times New Roman"/>
                <w:sz w:val="28"/>
              </w:rPr>
              <w:t>воспитательного</w:t>
            </w:r>
            <w:r>
              <w:rPr>
                <w:rFonts w:eastAsia="Times New Roman" w:cs="Times New Roman" w:ascii="Times New Roman" w:hAnsi="Times New Roman"/>
                <w:sz w:val="36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lang w:eastAsia="zh-CN"/>
              </w:rPr>
              <w:t>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20144,8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1621,7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1493,9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-108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«Развитие образования»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sz w:val="28"/>
          <w:szCs w:val="28"/>
        </w:rPr>
        <w:t>Обеспечение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общий объем – 1 300 868,0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436 114,7 тысяч рублей, в том числе на: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93 860,1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214 236,6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31 550,8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32 377,8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краевого бюджета – 423 058,0 тысяч рублей, в том числе на: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61 484,1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72 076,9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23 884,4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145 599,4 тысяч рублей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59 073,0 тысяч рублей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46 710,1 тысяч рублей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– 439 436,1 тысяч рублей, в том числе на: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52 952,2 тысяч рублей</w:t>
            </w:r>
          </w:p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67 237,2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182 657,4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23 559,5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6 447,1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внебюджетных источников –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8"/>
        <w:gridCol w:w="1274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  здоровья.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8"/>
        <w:gridCol w:w="1274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2" w:name="OLE_LINK2"/>
            <w:bookmarkStart w:id="3" w:name="OLE_LINK1"/>
            <w:bookmarkEnd w:id="2"/>
            <w:bookmarkEnd w:id="3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2.1. Основная цель подпрограммы –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2.2. 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введение дополнительных мест в системе дошкольного образования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1300868,0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145599,4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39830,3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26554,8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214236,6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32377,8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190396,9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Кореновский район 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Обеспечение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tbl>
      <w:tblPr>
        <w:tblpPr w:vertAnchor="text" w:horzAnchor="text" w:leftFromText="180" w:rightFromText="180" w:tblpX="-572" w:tblpY="1"/>
        <w:tblOverlap w:val="never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43297,2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микроавтобусов для подвоза учащихся в общем числе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автобусов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микроавтобусов,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количество проведенных мероприятий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43297,2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34834,2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ind w:left="61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34834,2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ind w:hanging="61" w:left="61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236011,8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124780,3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ind w:left="61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236011,8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124780,3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Проведение капитального и текущего ремо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236011,8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124780,3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236011,8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124780,3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/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/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в муниципаль</w:t>
              <w:softHyphen/>
              <w:t>ных об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eastAsia="Calibri" w:cs="Times New Roman"/>
                <w:sz w:val="28"/>
                <w:szCs w:val="28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53097,8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21156,1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53907,8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21156,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34985,6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30657,9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4327,7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7358,9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технической базы для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62215,8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right="5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46502,0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15713,8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45019,5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45019,5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281127,3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40525,3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41130,5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72527,9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7107,4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197353,9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30345,2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32377,8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11245,5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2125,8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15748,0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14148,0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13780,0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12308,0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</w:t>
            </w:r>
          </w:p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ежемесячной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72030,9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24469,2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72030,9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24469,2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54705,9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8462,1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 с ограниченными возможностями здоровья, охваченных бесплатным питанием, от общей численности учащихся общеобразовательных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35558,7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5500,3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19147,2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2961,8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2022, 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3127,9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3127,9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354853,7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258831,2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102894,0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64586,4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237764,5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14195,2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10353,4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«Развитие образования»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540 586,1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— 527 827,7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64 134,1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70 869,2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71 110,5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78 100,7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78 942,8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81 461,0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83 209,4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– 12 758,4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990,0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1 130,0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6 426,9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1 508,5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1 290,0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1 413,0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540586,1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78942,8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tLeast" w:line="20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</w:rPr>
      </w:pPr>
      <w:r>
        <w:rPr>
          <w:rFonts w:eastAsia="Andale Sans UI" w:cs="Times New Roman" w:ascii="Times New Roman" w:hAnsi="Times New Roman"/>
          <w:kern w:val="2"/>
          <w:sz w:val="28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Меры социальной поддержки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6"/>
          <w:lang w:eastAsia="zh-CN"/>
        </w:rPr>
      </w:pPr>
      <w:r>
        <w:rPr>
          <w:rFonts w:eastAsia="Calibri" w:cs="Times New Roman" w:ascii="Times New Roman" w:hAnsi="Times New Roman"/>
          <w:sz w:val="28"/>
          <w:szCs w:val="26"/>
          <w:lang w:eastAsia="zh-CN"/>
        </w:rPr>
      </w:r>
    </w:p>
    <w:tbl>
      <w:tblPr>
        <w:tblW w:w="1516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7453,5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7453,5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/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527827,7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78942,8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83209,4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527827,7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78942,8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83209,4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highlight w:val="yellow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/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34235,0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4477,9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34235,0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4477,9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48444,9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48444,9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05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О</w:t>
            </w: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243984,7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40617,8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243984,7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40617,8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200287,1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200287,1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236,8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241,2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>Предоставление субвенций местным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>спорт»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2022,2023,2025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851" w:right="1701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  <w:tab/>
        <w:tab/>
        <w:tab/>
        <w:tab/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4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«Развитие образования»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304 313,9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— 63 506,2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5 866,1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6 246,1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6 670,1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7 276,8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12 747,0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11 990,6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12 709,5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 240 807,7 тысяч рублей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36 775,6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39 447,1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43 724,3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45 543,1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36 480,9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38 836,7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соответствии с Федеральным Законом от 27 июля 2010 года № 210-ФЗ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  <w:lang w:eastAsia="zh-CN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увеличить количество проведенных массовых мероприятий.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7"/>
          <w:szCs w:val="27"/>
        </w:rPr>
        <w:tab/>
      </w: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</w:t>
            </w:r>
            <w:r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области образования»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304313,9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12747,0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11990,6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36480,9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tLeast" w:line="20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textAlignment w:val="baseline"/>
        <w:rPr>
          <w:rFonts w:ascii="Calibri" w:hAnsi="Calibri" w:eastAsia="Calibri" w:cs="Times New Roman"/>
        </w:rPr>
      </w:pPr>
      <w:bookmarkStart w:id="4" w:name="_GoBack"/>
      <w:bookmarkEnd w:id="4"/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tbl>
      <w:tblPr>
        <w:tblW w:w="15309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8216" w:type="dxa"/>
            <w:gridSpan w:val="4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00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>
        <w:rPr>
          <w:rFonts w:eastAsia="Calibri" w:cs="Times New Roman" w:ascii="Times New Roman" w:hAnsi="Times New Roman"/>
          <w:sz w:val="28"/>
          <w:szCs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16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304313,9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49227,9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50827,3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63506,2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12747,0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240807,7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36112,0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48856,0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48856,0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6434,2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244291,8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40215,8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41158,3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63334,1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12745,2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12500,3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180957,7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27470,6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2020,2021,2022,2023,2024,2025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проведенных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18"/>
      <w:headerReference w:type="default" r:id="rId19"/>
      <w:headerReference w:type="first" r:id="rId20"/>
      <w:type w:val="nextPage"/>
      <w:pgSz w:orient="landscape" w:w="16838" w:h="11906"/>
      <w:pgMar w:left="851" w:right="1701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7c66e6"/>
    <w:rPr>
      <w:rFonts w:ascii="Segoe UI" w:hAnsi="Segoe UI" w:cs="Segoe UI"/>
      <w:sz w:val="18"/>
      <w:szCs w:val="18"/>
    </w:rPr>
  </w:style>
  <w:style w:type="character" w:styleId="Style15" w:customStyle="1">
    <w:name w:val="Нижний колонтитул Знак"/>
    <w:basedOn w:val="DefaultParagraphFont"/>
    <w:qFormat/>
    <w:rsid w:val="00202f89"/>
    <w:rPr>
      <w:rFonts w:ascii="Calibri" w:hAnsi="Calibri" w:eastAsia="Calibri" w:cs="Times New Roman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202f89"/>
    <w:rPr>
      <w:rFonts w:ascii="Calibri" w:hAnsi="Calibri" w:eastAsia="Calibri" w:cs="Times New Roman"/>
    </w:rPr>
  </w:style>
  <w:style w:type="character" w:styleId="INS" w:customStyle="1">
    <w:name w:val="INS"/>
    <w:qFormat/>
    <w:rsid w:val="00202f89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nhideWhenUsed/>
    <w:qFormat/>
    <w:rsid w:val="007c66e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202f8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Прижатый влево"/>
    <w:basedOn w:val="Normal"/>
    <w:qFormat/>
    <w:rsid w:val="00202f89"/>
    <w:pPr>
      <w:widowControl w:val="false"/>
      <w:suppressAutoHyphens w:val="tru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0" w:customStyle="1">
    <w:name w:val="Нормальный (таблица)"/>
    <w:basedOn w:val="Normal"/>
    <w:qFormat/>
    <w:rsid w:val="00202f89"/>
    <w:pPr>
      <w:widowControl w:val="false"/>
      <w:suppressAutoHyphens w:val="tru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1" w:customStyle="1">
    <w:name w:val="Содержимое таблицы"/>
    <w:basedOn w:val="Standard"/>
    <w:qFormat/>
    <w:rsid w:val="00202f89"/>
    <w:pPr>
      <w:suppressLineNumbers/>
    </w:pPr>
    <w:rPr/>
  </w:style>
  <w:style w:type="paragraph" w:styleId="Style22" w:customStyle="1">
    <w:name w:val="Заголовок таблицы"/>
    <w:basedOn w:val="Style21"/>
    <w:qFormat/>
    <w:rsid w:val="00202f89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202f89"/>
    <w:pPr>
      <w:spacing w:before="0" w:after="283"/>
    </w:pPr>
    <w:rPr/>
  </w:style>
  <w:style w:type="paragraph" w:styleId="Style23">
    <w:name w:val="Колонтитул"/>
    <w:basedOn w:val="Normal"/>
    <w:qFormat/>
    <w:pPr/>
    <w:rPr/>
  </w:style>
  <w:style w:type="paragraph" w:styleId="Footer">
    <w:name w:val="Footer"/>
    <w:basedOn w:val="Standard"/>
    <w:link w:val="Style15"/>
    <w:rsid w:val="00202f89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link w:val="Style16"/>
    <w:uiPriority w:val="99"/>
    <w:rsid w:val="00202f89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202f89"/>
    <w:pPr>
      <w:spacing w:before="0" w:after="160"/>
      <w:ind w:left="720"/>
      <w:contextualSpacing/>
    </w:pPr>
    <w:rPr/>
  </w:style>
  <w:style w:type="paragraph" w:styleId="Style24">
    <w:name w:val="Содержимое врезки"/>
    <w:basedOn w:val="Normal"/>
    <w:qFormat/>
    <w:pPr/>
    <w:rPr/>
  </w:style>
  <w:style w:type="numbering" w:styleId="Style25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202f8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e20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39"/>
    <w:rsid w:val="00202f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202f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39"/>
    <w:rsid w:val="00202f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39"/>
    <w:rsid w:val="00202f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8390-A775-4DE4-BA69-859C8C92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LibreOffice/7.6.3.2$Windows_X86_64 LibreOffice_project/29d686fea9f6705b262d369fede658f824154cc0</Application>
  <AppVersion>15.0000</AppVersion>
  <Pages>98</Pages>
  <Words>17613</Words>
  <Characters>124931</Characters>
  <CharactersWithSpaces>137483</CharactersWithSpaces>
  <Paragraphs>6066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2024-05-13T09:33:00Z</dcterms:created>
  <dc:creator>МОУО Специалист</dc:creator>
  <dc:description/>
  <dc:language>ru-RU</dc:language>
  <cp:lastModifiedBy/>
  <cp:lastPrinted>2024-06-24T08:14:00Z</cp:lastPrinted>
  <dcterms:modified xsi:type="dcterms:W3CDTF">2024-09-13T12:22:24Z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