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settings.xml" ContentType="application/vnd.openxmlformats-officedocument.wordprocessingml.settings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_rels/document.xml.rels" ContentType="application/vnd.openxmlformats-package.relationships+xml"/>
  <Override PartName="/word/header42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26.11.2024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№ 1520</w:t>
      </w:r>
    </w:p>
    <w:p>
      <w:pPr>
        <w:pStyle w:val="Normal"/>
        <w:widowControl/>
        <w:bidi w:val="0"/>
        <w:spacing w:lineRule="auto" w:line="240" w:before="0" w:after="0"/>
        <w:contextualSpacing/>
        <w:jc w:val="center"/>
        <w:textAlignment w:val="auto"/>
        <w:rPr>
          <w:rFonts w:eastAsia="Times New Roman" w:cs="Times New Roman"/>
          <w:b w:val="false"/>
          <w:bCs w:val="false"/>
          <w:color w:val="auto"/>
          <w:kern w:val="2"/>
          <w:sz w:val="24"/>
          <w:szCs w:val="24"/>
          <w:shd w:fill="FFFFFF" w:val="clear"/>
          <w:lang w:val="ru-RU" w:eastAsia="ar-SA" w:bidi="ar-SA"/>
        </w:rPr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shd w:fill="FFFFFF" w:val="clear"/>
          <w:lang w:val="ru-RU" w:eastAsia="ru-RU" w:bidi="zxx"/>
        </w:rPr>
        <w:t>г.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на 2024-2028 годы» 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57" w:after="57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Fonts w:ascii="Times New Roman" w:hAnsi="Times New Roman"/>
          <w:b w:val="false"/>
          <w:sz w:val="28"/>
          <w:highlight w:val="white"/>
        </w:rPr>
        <w:t>реновский район от 30 октября 2023 года №1916 «Об утверждении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изложив приложение в новой редакции (прилагается)</w:t>
      </w:r>
      <w:r>
        <w:rPr>
          <w:rFonts w:ascii="Times New Roman" w:hAnsi="Times New Roman"/>
          <w:sz w:val="28"/>
          <w:highlight w:val="white"/>
        </w:rPr>
        <w:t>.</w:t>
      </w:r>
    </w:p>
    <w:p>
      <w:pPr>
        <w:pStyle w:val="Normal"/>
        <w:widowControl/>
        <w:ind w:firstLine="737" w:left="0" w:right="0"/>
        <w:jc w:val="both"/>
        <w:rPr/>
      </w:pPr>
      <w:r>
        <w:rPr>
          <w:rFonts w:ascii="Times New Roman" w:hAnsi="Times New Roman"/>
          <w:b w:val="false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29 октября 2024 года №1316 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center"/>
        <w:rPr/>
      </w:pPr>
      <w:r>
        <w:rPr>
          <w:rFonts w:ascii="Times New Roman" w:hAnsi="Times New Roman"/>
          <w:sz w:val="28"/>
          <w:highlight w:val="white"/>
        </w:rPr>
        <w:t>2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район                                                                              А.Е. Дружинкин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26.11.2024 года № 1520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муниципального образования Кореновский район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</w:r>
    </w:p>
    <w:p>
      <w:pPr>
        <w:pStyle w:val="BodyText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tbl>
      <w:tblPr>
        <w:tblStyle w:val="Style_6"/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402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b w:val="false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1.Развитие теплоэнергетического комплекса;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Normal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П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-Контроль существующей газоснабжающей системы;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Программы составляет — 9 179,2 тысяча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4 276,2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4 903,0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  <w:tab/>
        <w:t xml:space="preserve">Реализация муниципальной программы 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Кореновский район на 2024-2028 годы» (далее — муниципальная программа) направлена на улучшения качества жизни населения   Кореновский район.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widowControl/>
        <w:tabs>
          <w:tab w:val="clear" w:pos="347"/>
          <w:tab w:val="left" w:pos="0" w:leader="none"/>
        </w:tabs>
        <w:spacing w:before="0" w:after="0"/>
        <w:ind w:firstLine="737" w:left="0" w:right="0"/>
        <w:jc w:val="both"/>
        <w:rPr/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</w:t>
      </w:r>
      <w:r>
        <w:rPr>
          <w:rFonts w:ascii="Times New Roman" w:hAnsi="Times New Roman"/>
          <w:color w:val="000000"/>
          <w:spacing w:val="4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 утверждении территориальной схемы обращения с 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  предусматривает реализация четырех подпрограмм:</w:t>
        <w:tab/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«Обращение с твердыми коммунальными отходами» предусматривает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9 179,2 тыс. рублей.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6"/>
        <w:tblW w:w="9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628"/>
        <w:gridCol w:w="956"/>
        <w:gridCol w:w="873"/>
        <w:gridCol w:w="903"/>
        <w:gridCol w:w="853"/>
        <w:gridCol w:w="801"/>
        <w:gridCol w:w="678"/>
      </w:tblGrid>
      <w:tr>
        <w:trPr>
          <w:trHeight w:val="240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5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«Обращение с твердыми коммунальными отходами»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firstLine="72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9179,2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4276,2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4903,0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firstLine="72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9179,2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4276,2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4903,0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>муниципального образования Кореновский район 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131"/>
        <w:gridCol w:w="6487"/>
        <w:gridCol w:w="1075"/>
        <w:gridCol w:w="979"/>
        <w:gridCol w:w="970"/>
        <w:gridCol w:w="1033"/>
        <w:gridCol w:w="1383"/>
        <w:gridCol w:w="1059"/>
        <w:gridCol w:w="823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муниципального образования Кореновский район 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ликвидации свалок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                                                                                             В.Н. Нейжмак</w:t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</w:rPr>
        <w:t>ПРИЛОЖЕНИЕ №1</w:t>
      </w:r>
    </w:p>
    <w:p>
      <w:pPr>
        <w:pStyle w:val="Normal"/>
        <w:widowControl w:val="false"/>
        <w:jc w:val="right"/>
        <w:rPr/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right"/>
        <w:rPr/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на         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0"/>
        <w:gridCol w:w="6582"/>
      </w:tblGrid>
      <w:tr>
        <w:trPr>
          <w:trHeight w:val="855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b w:val="false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- 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1 155,2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394"/>
        <w:gridCol w:w="979"/>
        <w:gridCol w:w="1059"/>
        <w:gridCol w:w="1261"/>
        <w:gridCol w:w="1187"/>
        <w:gridCol w:w="113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5779"/>
        <w:gridCol w:w="960"/>
        <w:gridCol w:w="1133"/>
        <w:gridCol w:w="823"/>
        <w:gridCol w:w="928"/>
        <w:gridCol w:w="1425"/>
        <w:gridCol w:w="1572"/>
        <w:gridCol w:w="1317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>
          <w:trHeight w:val="1473" w:hRule="atLeast"/>
        </w:trPr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/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        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          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образования Кореновский район на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sz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Контроль существующей газоснабжающей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694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составит 1771,0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— 558,0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1213,0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1771,0 тыс. рублей.</w:t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подпрограммы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07" w:hRule="atLeast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134" w:right="617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6124"/>
        <w:gridCol w:w="960"/>
        <w:gridCol w:w="966"/>
        <w:gridCol w:w="1238"/>
        <w:gridCol w:w="1310"/>
        <w:gridCol w:w="1434"/>
        <w:gridCol w:w="829"/>
        <w:gridCol w:w="1197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 образования Кореновский район 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  <w:t>Начал</w:t>
      </w:r>
      <w:r>
        <w:rPr>
          <w:rFonts w:ascii="Times New Roman" w:hAnsi="Times New Roman"/>
          <w:sz w:val="28"/>
        </w:rPr>
        <w:t>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6 253,0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2 563,0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3 690,0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Fonts w:ascii="Times New Roman" w:hAnsi="Times New Roman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  <w:highlight w:val="white"/>
        </w:rPr>
        <w:t xml:space="preserve">основании приказа </w:t>
      </w:r>
      <w:r>
        <w:rPr>
          <w:rFonts w:ascii="Times New Roman" w:hAnsi="Times New Roman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  <w:sz w:val="28"/>
        </w:rPr>
        <w:t>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Normal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 w:left="0" w:right="0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  <w:highlight w:val="white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6 253,0 тыс. рублей.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1113"/>
        <w:gridCol w:w="1022"/>
        <w:gridCol w:w="1308"/>
        <w:gridCol w:w="1361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  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"/>
        <w:gridCol w:w="5865"/>
        <w:gridCol w:w="960"/>
        <w:gridCol w:w="896"/>
        <w:gridCol w:w="912"/>
        <w:gridCol w:w="1219"/>
        <w:gridCol w:w="1457"/>
        <w:gridCol w:w="1479"/>
        <w:gridCol w:w="1461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-2"/>
                <w:kern w:val="0"/>
                <w:sz w:val="24"/>
                <w:szCs w:val="20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rPr/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Ликвидация 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2024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2025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138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Создание места складирования крупногабаритных отходов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1880,0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  квартал 2024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1880,0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6253,0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3690,0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хозяйства,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муниципального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образования Кореновский район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2024-2028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57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57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 w:before="57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оставит 0 тысяч рублей,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- 0.0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olor w:val="000000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37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>
      <w:pPr>
        <w:pStyle w:val="Normal"/>
        <w:ind w:firstLine="737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>
      <w:pPr>
        <w:pStyle w:val="Normal"/>
        <w:widowControl w:val="false"/>
        <w:spacing w:before="0" w:after="0"/>
        <w:ind w:firstLine="737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>
      <w:pPr>
        <w:pStyle w:val="Normal"/>
        <w:widowControl w:val="false"/>
        <w:spacing w:before="0" w:after="0"/>
        <w:ind w:firstLine="737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>
      <w:pPr>
        <w:pStyle w:val="Normal"/>
        <w:ind w:firstLine="54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ind w:firstLine="708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ind w:firstLine="708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>
      <w:pPr>
        <w:pStyle w:val="Normal"/>
        <w:ind w:firstLine="708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>
      <w:pPr>
        <w:pStyle w:val="Normal"/>
        <w:ind w:firstLine="737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>
      <w:pPr>
        <w:pStyle w:val="Normal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widowControl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>
        <w:trPr/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подпрограмме</w:t>
            </w:r>
          </w:p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BodyText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Ц</w:t>
      </w:r>
      <w:r>
        <w:rPr>
          <w:rFonts w:ascii="Times New Roman" w:hAnsi="Times New Roman"/>
          <w:sz w:val="28"/>
        </w:rPr>
        <w:t>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sz w:val="28"/>
          <w:highlight w:val="white"/>
        </w:rPr>
      </w:pPr>
      <w:r>
        <w:rPr>
          <w:sz w:val="28"/>
          <w:highlight w:val="white"/>
        </w:rPr>
      </w:r>
    </w:p>
    <w:tbl>
      <w:tblPr>
        <w:tblStyle w:val="Style_6"/>
        <w:tblW w:w="145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3"/>
        <w:gridCol w:w="7770"/>
        <w:gridCol w:w="806"/>
        <w:gridCol w:w="641"/>
        <w:gridCol w:w="886"/>
        <w:gridCol w:w="905"/>
        <w:gridCol w:w="901"/>
        <w:gridCol w:w="1013"/>
        <w:gridCol w:w="1036"/>
      </w:tblGrid>
      <w:tr>
        <w:trPr/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7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Задачи: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»</w:t>
            </w:r>
          </w:p>
        </w:tc>
      </w:tr>
    </w:tbl>
    <w:p>
      <w:pPr>
        <w:pStyle w:val="Normal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Normal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Normal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b w:val="false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sz w:val="28"/>
          <w:highlight w:val="white"/>
        </w:rPr>
      </w:pPr>
      <w:r>
        <w:rPr>
          <w:sz w:val="28"/>
          <w:highlight w:val="white"/>
        </w:rPr>
      </w:r>
    </w:p>
    <w:tbl>
      <w:tblPr>
        <w:tblStyle w:val="Style_6"/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Развитие транспортной инфраструктуры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w:type="even" r:id="rId42"/>
      <w:headerReference w:type="default" r:id="rId43"/>
      <w:headerReference w:type="first" r:id="rId44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2111"/>
    <w:next w:val="BodyText"/>
    <w:uiPriority w:val="9"/>
    <w:qFormat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/>
    </w:rPr>
  </w:style>
  <w:style w:type="character" w:styleId="WW8Num3z3">
    <w:name w:val="WW8Num3z3"/>
    <w:qFormat/>
    <w:rPr/>
  </w:style>
  <w:style w:type="character" w:styleId="Textbody">
    <w:name w:val="Text body"/>
    <w:qFormat/>
    <w:rPr>
      <w:sz w:val="28"/>
    </w:rPr>
  </w:style>
  <w:style w:type="character" w:styleId="WW-Absatz-Standardschriftart111">
    <w:name w:val="WW-Absatz-Standardschriftart111"/>
    <w:qFormat/>
    <w:rPr/>
  </w:style>
  <w:style w:type="character" w:styleId="1">
    <w:name w:val="Цитата1"/>
    <w:qFormat/>
    <w:rPr>
      <w:sz w:val="28"/>
    </w:rPr>
  </w:style>
  <w:style w:type="character" w:styleId="NoSpacing">
    <w:name w:val="No Spacing"/>
    <w:qFormat/>
    <w:rPr>
      <w:rFonts w:ascii="Calibri" w:hAnsi="Calibri"/>
      <w:color w:val="000000"/>
      <w:sz w:val="22"/>
    </w:rPr>
  </w:style>
  <w:style w:type="character" w:styleId="WW-Absatz-Standardschriftart111111111">
    <w:name w:val="WW-Absatz-Standardschriftart11111111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aption2">
    <w:name w:val="Caption2"/>
    <w:qFormat/>
    <w:rPr>
      <w:i/>
      <w:sz w:val="24"/>
    </w:rPr>
  </w:style>
  <w:style w:type="character" w:styleId="WW8Num2z1">
    <w:name w:val="WW8Num2z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Absatz-Standardschriftart11">
    <w:name w:val="WW-Absatz-Standardschriftart11"/>
    <w:qFormat/>
    <w:rPr/>
  </w:style>
  <w:style w:type="character" w:styleId="WW8Num4z2">
    <w:name w:val="WW8Num4z2"/>
    <w:qFormat/>
    <w:rPr/>
  </w:style>
  <w:style w:type="character" w:styleId="q">
    <w:name w:val="q"/>
    <w:qFormat/>
    <w:rPr/>
  </w:style>
  <w:style w:type="character" w:styleId="WW8Num1z7">
    <w:name w:val="WW8Num1z7"/>
    <w:qFormat/>
    <w:rPr/>
  </w:style>
  <w:style w:type="character" w:styleId="WW8Num4z5">
    <w:name w:val="WW8Num4z5"/>
    <w:qFormat/>
    <w:rPr/>
  </w:style>
  <w:style w:type="character" w:styleId="WW8Num2z8">
    <w:name w:val="WW8Num2z8"/>
    <w:qFormat/>
    <w:rPr/>
  </w:style>
  <w:style w:type="character" w:styleId="WW-Absatz-Standardschriftart">
    <w:name w:val="WW-Absatz-Standardschriftart"/>
    <w:qFormat/>
    <w:rPr/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WW8Num2z7">
    <w:name w:val="WW8Num2z7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20"/>
    <w:qFormat/>
    <w:rPr/>
  </w:style>
  <w:style w:type="character" w:styleId="11">
    <w:name w:val="Название1"/>
    <w:qFormat/>
    <w:rPr>
      <w:i/>
      <w:sz w:val="24"/>
    </w:rPr>
  </w:style>
  <w:style w:type="character" w:styleId="WW-Absatz-Standardschriftart1">
    <w:name w:val="WW-Absatz-Standardschriftart1"/>
    <w:qFormat/>
    <w:rPr/>
  </w:style>
  <w:style w:type="character" w:styleId="WWCharLFO3LVL1">
    <w:name w:val="WW_CharLFO3LVL1"/>
    <w:qFormat/>
    <w:rPr>
      <w:rFonts w:ascii="Times New Roman" w:hAnsi="Times New Roman"/>
    </w:rPr>
  </w:style>
  <w:style w:type="character" w:styleId="WW8Num3z2">
    <w:name w:val="WW8Num3z2"/>
    <w:qFormat/>
    <w:rPr/>
  </w:style>
  <w:style w:type="character" w:styleId="12">
    <w:name w:val="Обычный1"/>
    <w:qFormat/>
    <w:rPr>
      <w:rFonts w:ascii="Times New Roman" w:hAnsi="Times New Roman"/>
      <w:color w:val="00000A"/>
      <w:sz w:val="24"/>
    </w:rPr>
  </w:style>
  <w:style w:type="character" w:styleId="WW8Num5z7">
    <w:name w:val="WW8Num5z7"/>
    <w:qFormat/>
    <w:rPr/>
  </w:style>
  <w:style w:type="character" w:styleId="WW8Num5z1">
    <w:name w:val="WW8Num5z1"/>
    <w:qFormat/>
    <w:rPr/>
  </w:style>
  <w:style w:type="character" w:styleId="FontStyle19">
    <w:name w:val="Font Style19"/>
    <w:basedOn w:val="DefaultParagraphFont"/>
    <w:qFormat/>
    <w:rPr>
      <w:rFonts w:ascii="Times New Roman" w:hAnsi="Times New Roman"/>
      <w:sz w:val="26"/>
    </w:rPr>
  </w:style>
  <w:style w:type="character" w:styleId="Standard1">
    <w:name w:val="Standard1"/>
    <w:qFormat/>
    <w:rPr>
      <w:rFonts w:ascii="Calibri" w:hAnsi="Calibri"/>
      <w:color w:val="000000"/>
      <w:sz w:val="22"/>
    </w:rPr>
  </w:style>
  <w:style w:type="character" w:styleId="WW8Num3z8">
    <w:name w:val="WW8Num3z8"/>
    <w:qFormat/>
    <w:rPr/>
  </w:style>
  <w:style w:type="character" w:styleId="WW-Absatz-Standardschriftart1111">
    <w:name w:val="WW-Absatz-Standardschriftart1111"/>
    <w:qFormat/>
    <w:rPr/>
  </w:style>
  <w:style w:type="character" w:styleId="WW8Num1z6">
    <w:name w:val="WW8Num1z6"/>
    <w:qFormat/>
    <w:rPr/>
  </w:style>
  <w:style w:type="character" w:styleId="WW8Num2z2">
    <w:name w:val="WW8Num2z2"/>
    <w:qFormat/>
    <w:rPr/>
  </w:style>
  <w:style w:type="character" w:styleId="WW-Absatz-Standardschriftart11111111">
    <w:name w:val="WW-Absatz-Standardschriftart11111111"/>
    <w:qFormat/>
    <w:rPr/>
  </w:style>
  <w:style w:type="character" w:styleId="WW8Num2z3">
    <w:name w:val="WW8Num2z3"/>
    <w:qFormat/>
    <w:rPr/>
  </w:style>
  <w:style w:type="character" w:styleId="Style7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CharLFO2LVL1">
    <w:name w:val="WW_CharLFO2LVL1"/>
    <w:qFormat/>
    <w:rPr>
      <w:rFonts w:ascii="Times New Roman" w:hAnsi="Times New Roman"/>
    </w:rPr>
  </w:style>
  <w:style w:type="character" w:styleId="FontStyle16">
    <w:name w:val="Font Style16"/>
    <w:basedOn w:val="DefaultParagraphFont"/>
    <w:qFormat/>
    <w:rPr>
      <w:rFonts w:ascii="Times New Roman" w:hAnsi="Times New Roman"/>
      <w:sz w:val="26"/>
    </w:rPr>
  </w:style>
  <w:style w:type="character" w:styleId="13">
    <w:name w:val="Основной шрифт абзаца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14pt">
    <w:name w:val="Обычный + 14 pt.полужирный.по центру"/>
    <w:basedOn w:val="Heading11"/>
    <w:qFormat/>
    <w:rPr>
      <w:sz w:val="28"/>
    </w:rPr>
  </w:style>
  <w:style w:type="character" w:styleId="Style8">
    <w:name w:val="Указатель"/>
    <w:qFormat/>
    <w:rPr/>
  </w:style>
  <w:style w:type="character" w:styleId="Caption11">
    <w:name w:val="Caption11"/>
    <w:qFormat/>
    <w:rPr>
      <w:i/>
      <w:sz w:val="24"/>
    </w:rPr>
  </w:style>
  <w:style w:type="character" w:styleId="FontStyle17">
    <w:name w:val="Font Style17"/>
    <w:basedOn w:val="DefaultParagraphFont"/>
    <w:qFormat/>
    <w:rPr>
      <w:rFonts w:ascii="Times New Roman" w:hAnsi="Times New Roman"/>
      <w:sz w:val="22"/>
    </w:rPr>
  </w:style>
  <w:style w:type="character" w:styleId="Caption1">
    <w:name w:val="Caption1"/>
    <w:qFormat/>
    <w:rPr>
      <w:i/>
    </w:rPr>
  </w:style>
  <w:style w:type="character" w:styleId="WW8Num2z6">
    <w:name w:val="WW8Num2z6"/>
    <w:qFormat/>
    <w:rPr/>
  </w:style>
  <w:style w:type="character" w:styleId="Style9">
    <w:name w:val="Цветовое выделение"/>
    <w:qFormat/>
    <w:rPr>
      <w:b/>
      <w:color w:val="000080"/>
    </w:rPr>
  </w:style>
  <w:style w:type="character" w:styleId="4">
    <w:name w:val="Основной шрифт абзаца4"/>
    <w:qFormat/>
    <w:rPr/>
  </w:style>
  <w:style w:type="character" w:styleId="Style10">
    <w:name w:val="Колонтитул"/>
    <w:qFormat/>
    <w:rPr/>
  </w:style>
  <w:style w:type="character" w:styleId="Style11">
    <w:name w:val="Символ нумерации"/>
    <w:qFormat/>
    <w:rPr/>
  </w:style>
  <w:style w:type="character" w:styleId="Caption12">
    <w:name w:val="Caption12"/>
    <w:qFormat/>
    <w:rPr>
      <w:i/>
      <w:sz w:val="24"/>
    </w:rPr>
  </w:style>
  <w:style w:type="character" w:styleId="2">
    <w:name w:val="Указатель2"/>
    <w:qFormat/>
    <w:rPr/>
  </w:style>
  <w:style w:type="character" w:styleId="Heading51">
    <w:name w:val="Heading 51"/>
    <w:qFormat/>
    <w:rPr>
      <w:sz w:val="28"/>
    </w:rPr>
  </w:style>
  <w:style w:type="character" w:styleId="Style12">
    <w:name w:val="Верхний и нижний колонтитулы"/>
    <w:qFormat/>
    <w:rPr/>
  </w:style>
  <w:style w:type="character" w:styleId="WW8Num5z2">
    <w:name w:val="WW8Num5z2"/>
    <w:qFormat/>
    <w:rPr/>
  </w:style>
  <w:style w:type="character" w:styleId="WW8Num1z2">
    <w:name w:val="WW8Num1z2"/>
    <w:qFormat/>
    <w:rPr/>
  </w:style>
  <w:style w:type="character" w:styleId="WW8Num4z4">
    <w:name w:val="WW8Num4z4"/>
    <w:qFormat/>
    <w:rPr/>
  </w:style>
  <w:style w:type="character" w:styleId="List1">
    <w:name w:val="List1"/>
    <w:basedOn w:val="Textbody"/>
    <w:qFormat/>
    <w:rPr/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WW8Num5z5">
    <w:name w:val="WW8Num5z5"/>
    <w:qFormat/>
    <w:rPr/>
  </w:style>
  <w:style w:type="character" w:styleId="DocumentMap">
    <w:name w:val="Document Map"/>
    <w:qFormat/>
    <w:rPr>
      <w:rFonts w:ascii="Times New Roman" w:hAnsi="Times New Roman"/>
      <w:color w:val="000000"/>
      <w:sz w:val="20"/>
    </w:rPr>
  </w:style>
  <w:style w:type="character" w:styleId="Heading11">
    <w:name w:val="Heading 11"/>
    <w:qFormat/>
    <w:rPr>
      <w:b/>
      <w:sz w:val="44"/>
    </w:rPr>
  </w:style>
  <w:style w:type="character" w:styleId="WW8Num4z1">
    <w:name w:val="WW8Num4z1"/>
    <w:qFormat/>
    <w:rPr/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WW-Absatz-Standardschriftart111111">
    <w:name w:val="WW-Absatz-Standardschriftart111111"/>
    <w:qFormat/>
    <w:rPr/>
  </w:style>
  <w:style w:type="character" w:styleId="WW8Num2z5">
    <w:name w:val="WW8Num2z5"/>
    <w:qFormat/>
    <w:rPr/>
  </w:style>
  <w:style w:type="character" w:styleId="WW8Num4z7">
    <w:name w:val="WW8Num4z7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3z5">
    <w:name w:val="WW8Num3z5"/>
    <w:qFormat/>
    <w:rPr/>
  </w:style>
  <w:style w:type="character" w:styleId="Style21">
    <w:name w:val="Style2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6">
    <w:name w:val="WW8Num4z6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3">
    <w:name w:val="Содержимое таблицы"/>
    <w:qFormat/>
    <w:rPr/>
  </w:style>
  <w:style w:type="character" w:styleId="WW8Num3z4">
    <w:name w:val="WW8Num3z4"/>
    <w:qFormat/>
    <w:rPr/>
  </w:style>
  <w:style w:type="character" w:styleId="caption13">
    <w:name w:val="caption13"/>
    <w:qFormat/>
    <w:rPr>
      <w:i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3z7">
    <w:name w:val="WW8Num3z7"/>
    <w:qFormat/>
    <w:rPr/>
  </w:style>
  <w:style w:type="character" w:styleId="Style14">
    <w:name w:val="Обычный"/>
    <w:qFormat/>
    <w:rPr>
      <w:rFonts w:ascii="Calibri" w:hAnsi="Calibri"/>
      <w:color w:val="000000"/>
      <w:sz w:val="24"/>
    </w:rPr>
  </w:style>
  <w:style w:type="character" w:styleId="WW8Num4z0">
    <w:name w:val="WW8Num4z0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4z8">
    <w:name w:val="WW8Num4z8"/>
    <w:qFormat/>
    <w:rPr/>
  </w:style>
  <w:style w:type="character" w:styleId="Header1">
    <w:name w:val="Header1"/>
    <w:qFormat/>
    <w:rPr/>
  </w:style>
  <w:style w:type="character" w:styleId="IndexHeading1">
    <w:name w:val="Index Heading1"/>
    <w:qFormat/>
    <w:rPr/>
  </w:style>
  <w:style w:type="character" w:styleId="Style15">
    <w:name w:val="Текст выноски Знак"/>
    <w:basedOn w:val="DefaultParagraphFont"/>
    <w:qFormat/>
    <w:rPr>
      <w:rFonts w:ascii="Tahoma" w:hAnsi="Tahoma"/>
      <w:sz w:val="16"/>
    </w:rPr>
  </w:style>
  <w:style w:type="character" w:styleId="WW8Num1z0">
    <w:name w:val="WW8Num1z0"/>
    <w:qFormat/>
    <w:rPr>
      <w:rFonts w:ascii="Times New Roman" w:hAnsi="Times New Roman"/>
    </w:rPr>
  </w:style>
  <w:style w:type="character" w:styleId="Style16">
    <w:name w:val="Блочная цитата"/>
    <w:qFormat/>
    <w:rPr/>
  </w:style>
  <w:style w:type="character" w:styleId="WW8Num1z4">
    <w:name w:val="WW8Num1z4"/>
    <w:qFormat/>
    <w:rPr/>
  </w:style>
  <w:style w:type="character" w:styleId="WW8Num5z3">
    <w:name w:val="WW8Num5z3"/>
    <w:qFormat/>
    <w:rPr/>
  </w:style>
  <w:style w:type="character" w:styleId="BalloonText">
    <w:name w:val="Balloon Text"/>
    <w:qFormat/>
    <w:rPr>
      <w:rFonts w:ascii="Tahoma" w:hAnsi="Tahoma"/>
      <w:sz w:val="1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2">
    <w:name w:val="Standard2"/>
    <w:qFormat/>
    <w:rPr>
      <w:rFonts w:ascii="Times New Roman" w:hAnsi="Times New Roman"/>
      <w:color w:val="000000"/>
      <w:sz w:val="24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Style17">
    <w:name w:val="Текст в заданном формате"/>
    <w:basedOn w:val="Standard2"/>
    <w:qFormat/>
    <w:rPr>
      <w:rFonts w:ascii="Liberation Mono;Courier New" w:hAnsi="Liberation Mono;Courier New"/>
      <w:sz w:val="20"/>
    </w:rPr>
  </w:style>
  <w:style w:type="character" w:styleId="WW8Num5z0">
    <w:name w:val="WW8Num5z0"/>
    <w:qFormat/>
    <w:rPr/>
  </w:style>
  <w:style w:type="character" w:styleId="14">
    <w:name w:val="Заголовок1"/>
    <w:qFormat/>
    <w:rPr>
      <w:rFonts w:ascii="Arial" w:hAnsi="Arial"/>
      <w:sz w:val="28"/>
    </w:rPr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8Num5z6">
    <w:name w:val="WW8Num5z6"/>
    <w:qFormat/>
    <w:rPr/>
  </w:style>
  <w:style w:type="character" w:styleId="WW8Num2z4">
    <w:name w:val="WW8Num2z4"/>
    <w:qFormat/>
    <w:rPr/>
  </w:style>
  <w:style w:type="character" w:styleId="WW-Absatz-Standardschriftart1111111">
    <w:name w:val="WW-Absatz-Standardschriftart1111111"/>
    <w:qFormat/>
    <w:rPr/>
  </w:style>
  <w:style w:type="character" w:styleId="Style18">
    <w:name w:val="Текст выноски"/>
    <w:qFormat/>
    <w:rPr>
      <w:rFonts w:ascii="Tahoma" w:hAnsi="Tahoma"/>
      <w:sz w:val="16"/>
    </w:rPr>
  </w:style>
  <w:style w:type="character" w:styleId="WW8Num3z6">
    <w:name w:val="WW8Num3z6"/>
    <w:qFormat/>
    <w:rPr/>
  </w:style>
  <w:style w:type="character" w:styleId="WW8Num5z4">
    <w:name w:val="WW8Num5z4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Subtitle1">
    <w:name w:val="Subtitle1"/>
    <w:basedOn w:val="caption13"/>
    <w:qFormat/>
    <w:rPr/>
  </w:style>
  <w:style w:type="character" w:styleId="Style19">
    <w:name w:val="Название объекта"/>
    <w:qFormat/>
    <w:rPr>
      <w:i/>
      <w:sz w:val="24"/>
    </w:rPr>
  </w:style>
  <w:style w:type="character" w:styleId="DefaultParagraphFont">
    <w:name w:val="Default Paragraph Font"/>
    <w:qFormat/>
    <w:rPr/>
  </w:style>
  <w:style w:type="character" w:styleId="WW-Absatz-Standardschriftart11111">
    <w:name w:val="WW-Absatz-Standardschriftart11111"/>
    <w:qFormat/>
    <w:rPr/>
  </w:style>
  <w:style w:type="character" w:styleId="Style20">
    <w:name w:val="Заголовок"/>
    <w:qFormat/>
    <w:rPr>
      <w:b/>
      <w:sz w:val="56"/>
    </w:rPr>
  </w:style>
  <w:style w:type="character" w:styleId="WW8Num1z5">
    <w:name w:val="WW8Num1z5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48"/>
    </w:rPr>
  </w:style>
  <w:style w:type="character" w:styleId="FontStyle28">
    <w:name w:val="Font Style28"/>
    <w:basedOn w:val="DefaultParagraphFont"/>
    <w:qFormat/>
    <w:rPr>
      <w:rFonts w:ascii="Times New Roman" w:hAnsi="Times New Roman"/>
      <w:sz w:val="24"/>
    </w:rPr>
  </w:style>
  <w:style w:type="character" w:styleId="WW8Num4z3">
    <w:name w:val="WW8Num4z3"/>
    <w:qFormat/>
    <w:rPr/>
  </w:style>
  <w:style w:type="character" w:styleId="211">
    <w:name w:val="Основной текст с отступом 21"/>
    <w:qFormat/>
    <w:rPr>
      <w:sz w:val="28"/>
    </w:rPr>
  </w:style>
  <w:style w:type="character" w:styleId="FR1">
    <w:name w:val="FR1"/>
    <w:qFormat/>
    <w:rPr>
      <w:rFonts w:ascii="Arial" w:hAnsi="Arial"/>
      <w:color w:val="000000"/>
      <w:sz w:val="24"/>
    </w:rPr>
  </w:style>
  <w:style w:type="character" w:styleId="WWCharLFO1LVL1">
    <w:name w:val="WW_CharLFO1LVL1"/>
    <w:qFormat/>
    <w:rPr>
      <w:rFonts w:ascii="Times New Roman" w:hAnsi="Times New Roman"/>
    </w:rPr>
  </w:style>
  <w:style w:type="character" w:styleId="WW-">
    <w:name w:val="WW-Заголовок"/>
    <w:basedOn w:val="caption13"/>
    <w:qFormat/>
    <w:rPr/>
  </w:style>
  <w:style w:type="character" w:styleId="Heading21">
    <w:name w:val="Heading 21"/>
    <w:qFormat/>
    <w:rPr>
      <w:b/>
    </w:rPr>
  </w:style>
  <w:style w:type="character" w:styleId="Textbodyindent">
    <w:name w:val="Text body indent"/>
    <w:qFormat/>
    <w:rPr>
      <w:sz w:val="28"/>
    </w:rPr>
  </w:style>
  <w:style w:type="character" w:styleId="31">
    <w:name w:val="Основной текст с отступом 31"/>
    <w:qFormat/>
    <w:rPr>
      <w:sz w:val="28"/>
    </w:rPr>
  </w:style>
  <w:style w:type="character" w:styleId="WW8Num1z8">
    <w:name w:val="WW8Num1z8"/>
    <w:qFormat/>
    <w:rPr/>
  </w:style>
  <w:style w:type="character" w:styleId="WW8Num1z1">
    <w:name w:val="WW8Num1z1"/>
    <w:qFormat/>
    <w:rPr/>
  </w:style>
  <w:style w:type="character" w:styleId="Style22">
    <w:name w:val="Заголовок таблицы"/>
    <w:basedOn w:val="Style13"/>
    <w:qFormat/>
    <w:rPr>
      <w:b/>
    </w:rPr>
  </w:style>
  <w:style w:type="character" w:styleId="WW8Num1z3">
    <w:name w:val="WW8Num1z3"/>
    <w:qFormat/>
    <w:rPr/>
  </w:style>
  <w:style w:type="character" w:styleId="WW8Num5z8">
    <w:name w:val="WW8Num5z8"/>
    <w:qFormat/>
    <w:rPr/>
  </w:style>
  <w:style w:type="character" w:styleId="Heading61">
    <w:name w:val="Heading 61"/>
    <w:qFormat/>
    <w:rPr>
      <w:b/>
    </w:rPr>
  </w:style>
  <w:style w:type="character" w:styleId="15">
    <w:name w:val="Указатель1"/>
    <w:qFormat/>
    <w:rPr/>
  </w:style>
  <w:style w:type="character" w:styleId="WW8Num3z0">
    <w:name w:val="WW8Num3z0"/>
    <w:qFormat/>
    <w:rPr>
      <w:rFonts w:ascii="Times New Roman" w:hAnsi="Times New Roman"/>
    </w:rPr>
  </w:style>
  <w:style w:type="character" w:styleId="WW8Num3z1">
    <w:name w:val="WW8Num3z1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3">
    <w:name w:val="Указатель3"/>
    <w:basedOn w:val="Normal"/>
    <w:qFormat/>
    <w:pPr>
      <w:suppressLineNumbers/>
    </w:pPr>
    <w:rPr>
      <w:rFonts w:cs="Mangal"/>
    </w:rPr>
  </w:style>
  <w:style w:type="paragraph" w:styleId="212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11">
    <w:name w:val="Указатель31"/>
    <w:basedOn w:val="Normal"/>
    <w:qFormat/>
    <w:pPr>
      <w:suppressLineNumbers/>
    </w:pPr>
    <w:rPr>
      <w:rFonts w:cs="Mangal"/>
    </w:rPr>
  </w:style>
  <w:style w:type="paragraph" w:styleId="2111">
    <w:name w:val="Заголовок211"/>
    <w:basedOn w:val="Normal"/>
    <w:next w:val="BodyText"/>
    <w:qFormat/>
    <w:pPr>
      <w:jc w:val="center"/>
    </w:pPr>
    <w:rPr>
      <w:b/>
      <w:sz w:val="56"/>
    </w:rPr>
  </w:style>
  <w:style w:type="paragraph" w:styleId="3111">
    <w:name w:val="Указатель311"/>
    <w:basedOn w:val="Normal"/>
    <w:qFormat/>
    <w:pPr/>
    <w:rPr/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">
    <w:name w:val="Цитата11"/>
    <w:basedOn w:val="Normal"/>
    <w:qFormat/>
    <w:pPr>
      <w:ind w:hanging="0" w:left="170" w:right="57"/>
    </w:pPr>
    <w:rPr>
      <w:sz w:val="28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1">
    <w:name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21">
    <w:name w:val="Основной текст с отступом 321"/>
    <w:basedOn w:val="Normal"/>
    <w:qFormat/>
    <w:pPr>
      <w:spacing w:lineRule="atLeast" w:line="100" w:before="0" w:after="120"/>
      <w:ind w:hanging="0" w:left="283" w:right="0"/>
    </w:pPr>
    <w:rPr>
      <w:rFonts w:ascii="Times New Roman" w:hAnsi="Times New Roman"/>
      <w:sz w:val="16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Название11"/>
    <w:basedOn w:val="Normal"/>
    <w:qFormat/>
    <w:pPr>
      <w:spacing w:before="120" w:after="120"/>
    </w:pPr>
    <w:rPr>
      <w:i/>
      <w:sz w:val="24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3LVL11">
    <w:name w:val="WW_CharLFO3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Обычный11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tLeast" w:line="100" w:before="0" w:after="60"/>
      <w:ind w:hanging="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91">
    <w:name w:val="Font Style191"/>
    <w:basedOn w:val="DefaultParagraphFont1"/>
    <w:qFormat/>
    <w:pPr/>
    <w:rPr>
      <w:rFonts w:ascii="Times New Roman" w:hAnsi="Times New Roman"/>
      <w:sz w:val="26"/>
    </w:rPr>
  </w:style>
  <w:style w:type="paragraph" w:styleId="Standard11">
    <w:name w:val="Standard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Основной шрифт абзаца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11">
    <w:name w:val="WW_CharLFO2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1"/>
    <w:basedOn w:val="DefaultParagraphFont1"/>
    <w:qFormat/>
    <w:pPr/>
    <w:rPr>
      <w:rFonts w:ascii="Times New Roman" w:hAnsi="Times New Roman"/>
      <w:sz w:val="26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Верхний и нижний колонтитулы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Footer">
    <w:name w:val="Foot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14pt1">
    <w:name w:val="Обычный + 14 pt.полужирный.по центру1"/>
    <w:basedOn w:val="Heading1"/>
    <w:qFormat/>
    <w:pPr>
      <w:tabs>
        <w:tab w:val="clear" w:pos="0"/>
      </w:tabs>
      <w:spacing w:before="240" w:after="60"/>
    </w:pPr>
    <w:rPr>
      <w:sz w:val="28"/>
    </w:rPr>
  </w:style>
  <w:style w:type="paragraph" w:styleId="Caption111">
    <w:name w:val="Caption111"/>
    <w:basedOn w:val="Normal"/>
    <w:qFormat/>
    <w:pPr>
      <w:spacing w:before="120" w:after="120"/>
    </w:pPr>
    <w:rPr>
      <w:i/>
      <w:sz w:val="24"/>
    </w:rPr>
  </w:style>
  <w:style w:type="paragraph" w:styleId="FontStyle171">
    <w:name w:val="Font Style171"/>
    <w:basedOn w:val="DefaultParagraphFont1"/>
    <w:qFormat/>
    <w:pPr/>
    <w:rPr>
      <w:rFonts w:ascii="Times New Roman" w:hAnsi="Times New Roman"/>
      <w:sz w:val="22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Цветовое выделение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41">
    <w:name w:val="Основной шрифт абзаца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8">
    <w:name w:val="Колонтитул1"/>
    <w:basedOn w:val="Normal"/>
    <w:qFormat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19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213">
    <w:name w:val="Указатель21"/>
    <w:basedOn w:val="Normal"/>
    <w:qFormat/>
    <w:pPr/>
    <w:rPr/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1">
    <w:name w:val="Style21"/>
    <w:basedOn w:val="Normal"/>
    <w:qFormat/>
    <w:pPr>
      <w:widowControl w:val="false"/>
      <w:spacing w:lineRule="exact" w:line="184"/>
    </w:pPr>
    <w:rPr/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Содержимое таблицы1"/>
    <w:basedOn w:val="Normal"/>
    <w:qFormat/>
    <w:pPr/>
    <w:rPr/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3">
    <w:name w:val="Обычный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4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IndexHeading">
    <w:name w:val="Index Heading"/>
    <w:basedOn w:val="Normal"/>
    <w:qFormat/>
    <w:pPr/>
    <w:rPr/>
  </w:style>
  <w:style w:type="paragraph" w:styleId="115">
    <w:name w:val="Текст выноски Знак1"/>
    <w:basedOn w:val="DefaultParagraphFont1"/>
    <w:qFormat/>
    <w:pPr/>
    <w:rPr>
      <w:rFonts w:ascii="Tahoma" w:hAnsi="Tahoma"/>
      <w:sz w:val="16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Блочная цитата1"/>
    <w:basedOn w:val="Normal"/>
    <w:qFormat/>
    <w:pPr>
      <w:spacing w:before="0" w:after="283"/>
      <w:ind w:hanging="0" w:left="567" w:right="567"/>
    </w:pPr>
    <w:rPr/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1">
    <w:name w:val="Standard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Текст в заданном формате1"/>
    <w:basedOn w:val="Standard21"/>
    <w:qFormat/>
    <w:pPr>
      <w:spacing w:before="0" w:after="0"/>
    </w:pPr>
    <w:rPr>
      <w:rFonts w:ascii="Liberation Mono;Courier New" w:hAnsi="Liberation Mono;Courier New"/>
      <w:sz w:val="20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8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ConsNormal1">
    <w:name w:val="ConsNormal1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9">
    <w:name w:val="Текст выноски1"/>
    <w:basedOn w:val="Normal"/>
    <w:qFormat/>
    <w:pPr/>
    <w:rPr>
      <w:rFonts w:ascii="Tahoma" w:hAnsi="Tahoma"/>
      <w:sz w:val="16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1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caption14"/>
    <w:next w:val="BodyText"/>
    <w:uiPriority w:val="11"/>
    <w:qFormat/>
    <w:pPr>
      <w:jc w:val="center"/>
    </w:pPr>
    <w:rPr/>
  </w:style>
  <w:style w:type="paragraph" w:styleId="120">
    <w:name w:val="Название объекта1"/>
    <w:basedOn w:val="Normal"/>
    <w:qFormat/>
    <w:pPr>
      <w:spacing w:before="120" w:after="120"/>
    </w:pPr>
    <w:rPr>
      <w:i/>
      <w:sz w:val="24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ntStyle281">
    <w:name w:val="Font Style281"/>
    <w:basedOn w:val="DefaultParagraphFont1"/>
    <w:qFormat/>
    <w:pPr/>
    <w:rPr>
      <w:rFonts w:ascii="Times New Roman" w:hAnsi="Times New Roman"/>
      <w:sz w:val="24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2">
    <w:name w:val="Основной текст с отступом 211"/>
    <w:basedOn w:val="Normal"/>
    <w:qFormat/>
    <w:pPr>
      <w:ind w:firstLine="780" w:left="0" w:right="0"/>
      <w:jc w:val="both"/>
    </w:pPr>
    <w:rPr>
      <w:sz w:val="28"/>
    </w:rPr>
  </w:style>
  <w:style w:type="paragraph" w:styleId="FR11">
    <w:name w:val="FR11"/>
    <w:qFormat/>
    <w:pPr>
      <w:widowControl w:val="false"/>
      <w:suppressAutoHyphens w:val="tru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1LVL11">
    <w:name w:val="WW_CharLFO1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1">
    <w:name w:val="WW-Заголовок1"/>
    <w:basedOn w:val="caption14"/>
    <w:next w:val="Subtitle"/>
    <w:qFormat/>
    <w:pPr/>
    <w:rPr/>
  </w:style>
  <w:style w:type="paragraph" w:styleId="BodyTextIndented">
    <w:name w:val="Body Text, Indented"/>
    <w:basedOn w:val="Normal"/>
    <w:qFormat/>
    <w:pPr/>
    <w:rPr>
      <w:sz w:val="28"/>
    </w:rPr>
  </w:style>
  <w:style w:type="paragraph" w:styleId="3112">
    <w:name w:val="Основной текст с отступом 311"/>
    <w:basedOn w:val="Normal"/>
    <w:qFormat/>
    <w:pPr>
      <w:ind w:firstLine="170" w:left="0" w:right="57"/>
    </w:pPr>
    <w:rPr>
      <w:sz w:val="28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1">
    <w:name w:val="Заголовок таблицы1"/>
    <w:basedOn w:val="110"/>
    <w:qFormat/>
    <w:pPr>
      <w:jc w:val="center"/>
    </w:pPr>
    <w:rPr>
      <w:b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0">
    <w:name w:val="Указатель11"/>
    <w:basedOn w:val="Normal"/>
    <w:qFormat/>
    <w:pPr/>
    <w:rPr/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numbering" w:styleId="WW8Num2">
    <w:name w:val="WW8Num2"/>
    <w:qFormat/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header" Target="header37.xml"/><Relationship Id="rId40" Type="http://schemas.openxmlformats.org/officeDocument/2006/relationships/header" Target="header38.xml"/><Relationship Id="rId41" Type="http://schemas.openxmlformats.org/officeDocument/2006/relationships/header" Target="header39.xml"/><Relationship Id="rId42" Type="http://schemas.openxmlformats.org/officeDocument/2006/relationships/header" Target="header40.xml"/><Relationship Id="rId43" Type="http://schemas.openxmlformats.org/officeDocument/2006/relationships/header" Target="header41.xml"/><Relationship Id="rId44" Type="http://schemas.openxmlformats.org/officeDocument/2006/relationships/header" Target="header42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LibreOffice/24.2.5.2$Windows_X86_64 LibreOffice_project/bffef4ea93e59bebbeaf7f431bb02b1a39ee8a59</Application>
  <AppVersion>15.0000</AppVersion>
  <Pages>39</Pages>
  <Words>10190</Words>
  <Characters>77445</Characters>
  <CharactersWithSpaces>88493</CharactersWithSpaces>
  <Paragraphs>1821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2024-11-27T17:11:02Z</cp:lastPrinted>
  <dcterms:modified xsi:type="dcterms:W3CDTF">2024-12-04T10:57:56Z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0</vt:bool>
  </property>
</Properties>
</file>