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A4567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7" o:title="" croptop="-5f" cropbottom="-5f" cropleft="-6f" cropright="-6f"/>
          </v:shape>
        </w:pict>
      </w:r>
    </w:p>
    <w:p w:rsidR="00000000" w:rsidRDefault="001A4567">
      <w:pPr>
        <w:jc w:val="center"/>
        <w:rPr>
          <w:lang/>
        </w:rPr>
      </w:pPr>
    </w:p>
    <w:p w:rsidR="00000000" w:rsidRDefault="001A4567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АДМИНИСТРАЦИЯ  МУНИЦИПАЛЬНОГО  ОБРАЗОВАНИЯ</w:t>
      </w:r>
    </w:p>
    <w:p w:rsidR="00000000" w:rsidRDefault="001A4567">
      <w:pPr>
        <w:pStyle w:val="2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lang/>
        </w:rPr>
        <w:t>КОРЕНОВСКИЙ  РАЙОН</w:t>
      </w:r>
    </w:p>
    <w:p w:rsidR="00000000" w:rsidRDefault="001A4567">
      <w:pPr>
        <w:pStyle w:val="1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1A4567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 w:val="ru-RU"/>
        </w:rPr>
        <w:t>о</w:t>
      </w:r>
      <w:r>
        <w:rPr>
          <w:rFonts w:ascii="Times New Roman" w:hAnsi="Times New Roman" w:cs="Times New Roman"/>
          <w:b/>
        </w:rPr>
        <w:t>т 28.</w:t>
      </w:r>
      <w:r>
        <w:rPr>
          <w:rFonts w:ascii="Times New Roman" w:hAnsi="Times New Roman" w:cs="Times New Roman"/>
          <w:b/>
          <w:lang w:val="ru-RU"/>
        </w:rPr>
        <w:t>12.2024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№ 1765</w:t>
      </w:r>
    </w:p>
    <w:p w:rsidR="00000000" w:rsidRDefault="001A4567">
      <w:pPr>
        <w:jc w:val="center"/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1A4567">
      <w:pPr>
        <w:jc w:val="center"/>
      </w:pPr>
    </w:p>
    <w:p w:rsidR="00000000" w:rsidRDefault="001A4567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1A45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eastAsia="Liberation Serif" w:cs="Liberation Serif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постановление администрации</w:t>
      </w: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льного образования Кореновский район от 25 июня 2024 года                  № 666 «Об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реновский район»</w:t>
      </w:r>
    </w:p>
    <w:p w:rsidR="00000000" w:rsidRDefault="001A456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1A456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6 октября 2003 года             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Российской Федерации», Федеральным законом от 4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декабря 2007 года           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329-ФЗ «О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й культуре и спорте в Российской федерации», Федеральным законом от 12 января 1996 года № 7-ФЗ «О некоммерческих организациях», с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решением Совета муниципального образования Кореновский район от 29 июня 2022 года № 223 «О порядке принятия решений об установ</w:t>
      </w:r>
      <w:r>
        <w:rPr>
          <w:rFonts w:ascii="Times New Roman" w:hAnsi="Times New Roman" w:cs="Times New Roman"/>
          <w:sz w:val="28"/>
          <w:szCs w:val="28"/>
          <w:lang w:val="ru-RU"/>
        </w:rPr>
        <w:t>лении тарифов на услуги и работы муниципальных предприятий и учреждений муниципального образования Кореновский район», постановлением администрации муниципального образования Кореновский район от 23 ноября 2011 года № 1720 «Об утверждении Порядка определен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платы за оказание муниципальным бюджетным учреждением муниципального образования Кореновский район услуг (выполнение работ), относящихся к основным видам деятельности, для граждан и юридических лиц», администрация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район,                           п о с т а н о в л я е т:</w:t>
      </w:r>
    </w:p>
    <w:p w:rsidR="00000000" w:rsidRDefault="001A4567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Внести изменения в постановление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муниципального образования Кореновский район от 25 июня 2024 года № 666 «Об утверждении цен на платные услуги, оказываемые муниципальным автономным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учреждением дополнительного образования спортивной школой «Аллигатор» муниципального образования Кореновский район», изложив приложение в новой редакции (прилагается).</w:t>
      </w:r>
    </w:p>
    <w:p w:rsidR="00000000" w:rsidRDefault="001A456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 Признать утратившим силу постановление администрации  муниципального образования Кор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еновский район от  17 октября 2024 года № 1289 «О внесении изменений в  постановление администрации  муниципального образования Кореновский район от 25 июня 2024 года № 666 «Об утверждении цен на платные услуги, оказываемые муниципальным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автономным учрежде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нием дополнительного образования спортивной школой «Аллигатор» муниципального образования Кореновский район».</w:t>
      </w:r>
    </w:p>
    <w:p w:rsidR="00000000" w:rsidRDefault="001A4567">
      <w:pPr>
        <w:ind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</w:t>
      </w:r>
      <w:r>
        <w:rPr>
          <w:rFonts w:ascii="Times New Roman" w:hAnsi="Times New Roman" w:cs="Times New Roman"/>
          <w:sz w:val="28"/>
          <w:szCs w:val="28"/>
          <w:lang w:val="ru-RU"/>
        </w:rPr>
        <w:t>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1A4567">
      <w:pPr>
        <w:ind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Постановление вступает в силу после его официального обнародова</w:t>
      </w:r>
      <w:r>
        <w:rPr>
          <w:rFonts w:ascii="Times New Roman" w:hAnsi="Times New Roman" w:cs="Times New Roman"/>
          <w:sz w:val="28"/>
          <w:szCs w:val="28"/>
          <w:lang w:val="ru-RU"/>
        </w:rPr>
        <w:t>ния.</w:t>
      </w:r>
    </w:p>
    <w:p w:rsidR="00000000" w:rsidRDefault="001A456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1A456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2"/>
        <w:gridCol w:w="4776"/>
      </w:tblGrid>
      <w:tr w:rsidR="00000000">
        <w:tc>
          <w:tcPr>
            <w:tcW w:w="4862" w:type="dxa"/>
            <w:shd w:val="clear" w:color="auto" w:fill="auto"/>
          </w:tcPr>
          <w:p w:rsidR="00000000" w:rsidRDefault="001A4567">
            <w:pPr>
              <w:widowControl w:val="0"/>
              <w:ind w:righ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Исполняющий обязанности 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</w:p>
          <w:p w:rsidR="00000000" w:rsidRDefault="001A4567">
            <w:pPr>
              <w:widowControl w:val="0"/>
              <w:ind w:righ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1A4567">
            <w:pPr>
              <w:widowControl w:val="0"/>
              <w:ind w:right="2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shd w:val="clear" w:color="auto" w:fill="auto"/>
            <w:vAlign w:val="bottom"/>
          </w:tcPr>
          <w:p w:rsidR="00000000" w:rsidRDefault="001A4567">
            <w:pPr>
              <w:widowControl w:val="0"/>
              <w:ind w:right="21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Колупайко</w:t>
            </w:r>
          </w:p>
        </w:tc>
      </w:tr>
    </w:tbl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1A4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rPr>
          <w:lang w:val="ru-RU"/>
        </w:rPr>
      </w:pPr>
    </w:p>
    <w:p w:rsidR="00000000" w:rsidRDefault="001A4567">
      <w:pPr>
        <w:sectPr w:rsidR="00000000">
          <w:headerReference w:type="default" r:id="rId8"/>
          <w:headerReference w:type="first" r:id="rId9"/>
          <w:pgSz w:w="11906" w:h="16838"/>
          <w:pgMar w:top="986" w:right="567" w:bottom="720" w:left="1701" w:header="720" w:footer="720" w:gutter="0"/>
          <w:cols w:space="720"/>
          <w:titlePg/>
          <w:docGrid w:linePitch="600" w:charSpace="32768"/>
        </w:sectPr>
      </w:pPr>
    </w:p>
    <w:p w:rsidR="00000000" w:rsidRDefault="001A4567">
      <w:pPr>
        <w:pageBreakBefore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1A456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A456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00000" w:rsidRDefault="001A456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1A456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1A456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1A4567">
      <w:pPr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28.12.2024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176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ЦЕНЫ</w:t>
      </w: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платные услуги, оказываемые муниципальным автономным</w:t>
      </w: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учреждением дополнительного образования спортивной школой «Аллигатор»</w:t>
      </w: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</w:p>
    <w:p w:rsidR="00000000" w:rsidRDefault="001A4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4689"/>
        <w:gridCol w:w="1479"/>
        <w:gridCol w:w="80"/>
        <w:gridCol w:w="1276"/>
        <w:gridCol w:w="142"/>
        <w:gridCol w:w="142"/>
        <w:gridCol w:w="43"/>
        <w:gridCol w:w="98"/>
        <w:gridCol w:w="1134"/>
        <w:gridCol w:w="248"/>
        <w:gridCol w:w="236"/>
        <w:gridCol w:w="236"/>
      </w:tblGrid>
      <w:tr w:rsidR="00000000"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1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руб.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snapToGrid w:val="0"/>
            </w:pPr>
          </w:p>
        </w:tc>
        <w:tc>
          <w:tcPr>
            <w:tcW w:w="1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snapToGrid w:val="0"/>
            </w:pP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ослый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(дети до 18 лет)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Массовое катание на льду без проката коньков (разовое посещение)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Массовое катание на льду без проката коньков (4 посещения по 1 часу)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Массовое катание на льду без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проката коньков (8 посещений по 1 часу)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Массовое катание на льду с прокатом коньков (разовое посещение)*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Массовое катание на льду с прокатом коньков (4 посещения по 1 часу)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1 040,00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Массовое катание на льду с прокатом коньков (8 посещений по 1 часу)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1 920,00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1 400,00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Индивидуальное занятие с инструктором по катанию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(услуга оказывается с 6 лет)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91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Заточка коньков (согласно графика) *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1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8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Прокат спортивной экипировки, инвентаря и оборудования*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хоккейный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локтевая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колена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фигуриста «Пингвин»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 мин.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фигуриста «Пингвин»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одной пары коньков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теннисного стола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теннисного стола (10 посещений по 1 часу)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Комплект для настольного тенниса (2 ракетки,1 мячик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бильярдного стола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бильярдного стола (10 посещений по 1 часу)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ледовой арены любительской группы по хоккею с шайбой без проката коньков (разовое посещен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1,5 часа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ледовой арены любительской группы по хоккею с шайбой без проката коньков (8 посещений по 1,5 часа)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(с человека)</w:t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Занятия в группе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физкультурно-оздоровительной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направленности по виду спорта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«Хоккей с шайбой»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Занятия в группе физкультурно-оздоровительной направленности по виду спорта «Фигурное катание на коньках»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Занятия в группе физкультурно-оздоровительной направленнос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ти по «Хореография»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Занятия в группе физкультурно-оздоровительной направленности по виду спорта«Художественная гимнастика»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pStyle w:val="25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Платная услуга «Час фигурного катания на коньках» *</w:t>
            </w:r>
          </w:p>
        </w:tc>
        <w:tc>
          <w:tcPr>
            <w:tcW w:w="15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pStyle w:val="2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Платная услуга «Час хоккея» *</w:t>
            </w:r>
          </w:p>
        </w:tc>
        <w:tc>
          <w:tcPr>
            <w:tcW w:w="15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41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Групповое посещение зала в здании УВСК с инструктором по спорту (для детей от 4 до 14 лет) (абонемент на 8 посещений по 60 минут)</w:t>
            </w:r>
          </w:p>
        </w:tc>
        <w:tc>
          <w:tcPr>
            <w:tcW w:w="15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4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1461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pStyle w:val="25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Предоставление ледовой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арены для проведения соревнований по зимним видам спорта и тренировочных сборов для спортивных команд, учреждений, организаций.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6 500,00</w:t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pStyle w:val="25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зала для проведения соревнований, тренировочных сборов в хореографическом зале СКЛ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pStyle w:val="25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зала для проведения соревнований, тренировочных сборов в тренажерном зале СКЛА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pStyle w:val="25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зала для проведения соревнований, тренировочных сборов в спортивном зале ВСК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едоставление плавательной дорожки для проведения соревнований, тренировочных сборов в плавательном бассейне(1 плавательная дорожка)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спортивного зала в здании ВСК (разовое посещение)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спортив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зала в здании ВСК (16 посещений по 90 минут)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СКЛА (разовое посещение)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СКЛА (4 посещения по 1 часу)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СКЛА (8 посещений по 1 часу)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СКЛА (12 посещений по 1 часу)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плавательного бассейна (раз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овое посещение)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плавательного бассейна (8 посещений по 90 минут)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плавательного бассейна (12 посещений по 90 минут)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плавательного бассейна (разовое посещение, дети с 14лет до 18 лет)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тренажерного зала в здании плавательного бассейна (12 посещений по 60 минут, дети с 14лет до 18 лет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 в тренажерном зале с инструктором по спорту, в здании плавательного бассейна (от 5 до 20 человек), разовое посещение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 в тренажерном зале с инструктором по 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у, в здании плавательного бассейна (от 5 до 20 человек),8 посещений по 90 минут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Групповая тренировка в тренажерном зале с</w:t>
            </w:r>
          </w:p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инструктором по спорту, в здании плавательного бассейна (от 5 до 20 человек),12 посещений по 90 минут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</w:t>
            </w:r>
            <w:r>
              <w:rPr>
                <w:rFonts w:ascii="Times New Roman" w:hAnsi="Times New Roman" w:cs="Times New Roman"/>
              </w:rPr>
              <w:t>мент</w:t>
            </w:r>
          </w:p>
        </w:tc>
        <w:tc>
          <w:tcPr>
            <w:tcW w:w="1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Индивидуальные занятия с инструктором по спорту в тренажерном зале, в здании плавательного бассейна (разовое посещение)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занятия с инструктором по спорту в тренажерном зале, в здании плавательного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бассейна (10 посещений по 90 минут)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Кардиотренировка с инструктором по спорту (8 посещений по 90 минут)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1 280,00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(для пенсионеров и инвалидов 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1 152,00)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Аквааэробика (разовое посещение)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Аквааэробика (12 посещений по 45 минут)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2 200,00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Обучение плаванию (индивидуальное занятие с инструктором)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плаванию (индивидуальное занятие с инструктором),8 занятий по 45 минут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Групповое обучение плаванию (от 5 до 12 человек),8 посещений по 45 минут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Групповое обучению плаванию (от 5 до 12 человек), 8 посещений по 45 минут, дети с 5 лет до 18 лет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1 200,00</w:t>
            </w: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ейна (дети с 5 лет до 18 лет) разовое посещение*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(дети с 5 лет до 18 лет) 12 посещений по 45 минут*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1 000,00</w:t>
            </w: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(разовое посещение для инвалидов, ветеранов боевых действий)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45 м</w:t>
            </w:r>
            <w:r>
              <w:rPr>
                <w:rFonts w:ascii="Times New Roman" w:hAnsi="Times New Roman" w:cs="Times New Roman"/>
              </w:rPr>
              <w:t>инут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с 09.00 до 13.00, с 18.00 до 21.00 (разовое посещение)*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с 09.00 до 13.00, с 18.00 до 21.00 (8 посещений по 45 минут)*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бассейна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09.00 до 13.00, с 18.00 до 21.00(12 посещений по 45 минут)*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с 13.00 до 16.00 (разовое посещение)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с 13.00 до 16.00 (8 посещений по 45 минут)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бассейна с 13.00 до 16.00 (12 посещений по 45 минут)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Абонемент «Вездеход» (посещение тренажерного зала 90 минут в здании плавательного бассейна+ посещение бассейна 45 минут) 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 на 2 месяца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Семейный абонемент (2 человека) на посещение бассейна,12 посещений по 45 минут*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Семейный абонемент (2 человека) на посещение тренажерного зала ,12 посещений по 90 минут*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абонемент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4 200,00</w:t>
            </w: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татами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борцовского ковра ЦЕ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Занятия в группе физкультурно-оздоровительной направленности по виду 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«Дзюдо»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Занятия в группе физкультурно-оздоровительной направ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ленности по виду 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«Самбо»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Занятия в группе физкультурно-оздоровительной направленности по виду 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«Киокусинкай»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</w:t>
            </w:r>
          </w:p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(60 минут)</w:t>
            </w:r>
          </w:p>
        </w:tc>
        <w:tc>
          <w:tcPr>
            <w:tcW w:w="16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соревнований, тренировочных сборов для спортивных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команд, учреждений, организаций в большом зале ЦЕ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соревнований, тренировочных сборов для спортивных команд, учреждений, организаций в малом зале ЦЕ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1A456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  <w:tc>
          <w:tcPr>
            <w:tcW w:w="484" w:type="dxa"/>
            <w:gridSpan w:val="2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0000" w:rsidRDefault="001A45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1A456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000000" w:rsidRDefault="001A45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*льгота 50% предоставляется военнослужащим, мобилизован</w:t>
      </w:r>
      <w:r>
        <w:rPr>
          <w:rFonts w:ascii="Times New Roman" w:hAnsi="Times New Roman" w:cs="Times New Roman"/>
          <w:sz w:val="28"/>
          <w:szCs w:val="28"/>
          <w:lang w:val="ru-RU"/>
        </w:rPr>
        <w:t>ным, лицам, заключившим контракт о пребывании в добровольческом формировании, содействующим выполнению задач, возложенных на Вооруженные Силы Российской Федерации, лицам, проходящих (проходивших) службу в войсках национальной гвардии Российской Федерации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имеющих специальное звание полиции, которые удостоены звания Героя Российской Федерации или награждены орденами Российской Федерации за заслуги, проявленные в ходе участия в специальной военной операции, а также членам их семей при предъявлении подтвержда</w:t>
      </w:r>
      <w:r>
        <w:rPr>
          <w:rFonts w:ascii="Times New Roman" w:hAnsi="Times New Roman" w:cs="Times New Roman"/>
          <w:sz w:val="28"/>
          <w:szCs w:val="28"/>
          <w:lang w:val="ru-RU"/>
        </w:rPr>
        <w:t>ющих документов, и членам семей погибших (умерших) в период прохождения военной службы (выполнения служебных обязанностей) при предъявлении подтверждающих документов.</w:t>
      </w:r>
    </w:p>
    <w:p w:rsidR="00000000" w:rsidRDefault="001A45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00000">
        <w:tc>
          <w:tcPr>
            <w:tcW w:w="4678" w:type="dxa"/>
            <w:shd w:val="clear" w:color="auto" w:fill="auto"/>
          </w:tcPr>
          <w:p w:rsidR="00000000" w:rsidRDefault="001A4567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</w:t>
            </w:r>
          </w:p>
          <w:p w:rsidR="00000000" w:rsidRDefault="001A4567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000000" w:rsidRDefault="001A4567">
            <w:pPr>
              <w:widowControl w:val="0"/>
              <w:tabs>
                <w:tab w:val="left" w:pos="709"/>
                <w:tab w:val="center" w:pos="4677"/>
                <w:tab w:val="right" w:pos="9355"/>
              </w:tabs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район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00000" w:rsidRDefault="001A4567">
            <w:pPr>
              <w:widowControl w:val="0"/>
              <w:tabs>
                <w:tab w:val="left" w:pos="709"/>
                <w:tab w:val="center" w:pos="4677"/>
                <w:tab w:val="right" w:pos="935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00000" w:rsidRDefault="001A4567">
            <w:pPr>
              <w:widowControl w:val="0"/>
              <w:tabs>
                <w:tab w:val="left" w:pos="709"/>
                <w:tab w:val="center" w:pos="4677"/>
                <w:tab w:val="right" w:pos="9355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00000" w:rsidRDefault="001A4567">
            <w:pPr>
              <w:widowControl w:val="0"/>
              <w:tabs>
                <w:tab w:val="left" w:pos="709"/>
                <w:tab w:val="center" w:pos="4677"/>
                <w:tab w:val="right" w:pos="9355"/>
              </w:tabs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A0101"/>
                <w:sz w:val="28"/>
                <w:szCs w:val="28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A0101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A0101"/>
                <w:sz w:val="28"/>
                <w:szCs w:val="28"/>
              </w:rPr>
              <w:t>И.А.</w:t>
            </w:r>
            <w:r>
              <w:rPr>
                <w:rFonts w:ascii="Times New Roman" w:hAnsi="Times New Roman" w:cs="Times New Roman"/>
                <w:color w:val="0A010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A0101"/>
                <w:sz w:val="28"/>
                <w:szCs w:val="28"/>
              </w:rPr>
              <w:t>Максименко</w:t>
            </w:r>
          </w:p>
        </w:tc>
      </w:tr>
    </w:tbl>
    <w:p w:rsidR="00000000" w:rsidRDefault="001A4567">
      <w:pPr>
        <w:jc w:val="center"/>
      </w:pPr>
    </w:p>
    <w:sectPr w:rsidR="00000000">
      <w:headerReference w:type="even" r:id="rId10"/>
      <w:headerReference w:type="default" r:id="rId11"/>
      <w:headerReference w:type="first" r:id="rId12"/>
      <w:pgSz w:w="11906" w:h="16838"/>
      <w:pgMar w:top="776" w:right="566" w:bottom="39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4567">
      <w:r>
        <w:separator/>
      </w:r>
    </w:p>
  </w:endnote>
  <w:endnote w:type="continuationSeparator" w:id="0">
    <w:p w:rsidR="00000000" w:rsidRDefault="001A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4567">
      <w:r>
        <w:separator/>
      </w:r>
    </w:p>
  </w:footnote>
  <w:footnote w:type="continuationSeparator" w:id="0">
    <w:p w:rsidR="00000000" w:rsidRDefault="001A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4567">
    <w:pPr>
      <w:pStyle w:val="12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45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456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456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456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567"/>
    <w:rsid w:val="001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1DAF8DB-F0B5-482D-8059-905F9727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Lucida Sans Unicode" w:hAnsi="Liberation Serif" w:cs="Tahoma"/>
      <w:color w:val="000000"/>
      <w:sz w:val="24"/>
      <w:szCs w:val="24"/>
      <w:lang w:val="en-US" w:eastAsia="zh-CN" w:bidi="en-US"/>
    </w:rPr>
  </w:style>
  <w:style w:type="paragraph" w:styleId="1">
    <w:name w:val="heading 1"/>
    <w:next w:val="a"/>
    <w:qFormat/>
    <w:pPr>
      <w:widowControl w:val="0"/>
      <w:numPr>
        <w:numId w:val="1"/>
      </w:numPr>
      <w:suppressAutoHyphens/>
      <w:spacing w:before="120" w:after="120"/>
      <w:jc w:val="both"/>
      <w:outlineLvl w:val="0"/>
    </w:pPr>
    <w:rPr>
      <w:rFonts w:ascii="XO Thames" w:eastAsia="Lucida Sans Unicode" w:hAnsi="XO Thames" w:cs="Tahoma"/>
      <w:b/>
      <w:bCs/>
      <w:color w:val="000000"/>
      <w:sz w:val="32"/>
      <w:szCs w:val="32"/>
      <w:lang w:val="en-US" w:eastAsia="zh-CN" w:bidi="en-US"/>
    </w:rPr>
  </w:style>
  <w:style w:type="paragraph" w:styleId="2">
    <w:name w:val="heading 2"/>
    <w:next w:val="a"/>
    <w:qFormat/>
    <w:pPr>
      <w:widowControl w:val="0"/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" w:eastAsia="Lucida Sans Unicode" w:hAnsi="XO Thames" w:cs="Tahoma"/>
      <w:b/>
      <w:bCs/>
      <w:color w:val="000000"/>
      <w:sz w:val="28"/>
      <w:szCs w:val="28"/>
      <w:lang w:val="en-US" w:eastAsia="zh-CN" w:bidi="en-US"/>
    </w:rPr>
  </w:style>
  <w:style w:type="paragraph" w:styleId="3">
    <w:name w:val="heading 3"/>
    <w:next w:val="a"/>
    <w:qFormat/>
    <w:pPr>
      <w:widowControl w:val="0"/>
      <w:numPr>
        <w:ilvl w:val="2"/>
        <w:numId w:val="1"/>
      </w:numPr>
      <w:suppressAutoHyphens/>
      <w:spacing w:before="120" w:after="120"/>
      <w:jc w:val="both"/>
      <w:outlineLvl w:val="2"/>
    </w:pPr>
    <w:rPr>
      <w:rFonts w:ascii="XO Thames" w:eastAsia="Lucida Sans Unicode" w:hAnsi="XO Thames" w:cs="Tahoma"/>
      <w:b/>
      <w:bCs/>
      <w:color w:val="000000"/>
      <w:sz w:val="26"/>
      <w:szCs w:val="26"/>
      <w:lang w:val="en-US" w:eastAsia="zh-CN" w:bidi="en-US"/>
    </w:rPr>
  </w:style>
  <w:style w:type="paragraph" w:styleId="4">
    <w:name w:val="heading 4"/>
    <w:next w:val="a"/>
    <w:qFormat/>
    <w:pPr>
      <w:widowControl w:val="0"/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" w:eastAsia="Lucida Sans Unicode" w:hAnsi="XO Thames" w:cs="Tahoma"/>
      <w:b/>
      <w:bCs/>
      <w:color w:val="000000"/>
      <w:sz w:val="24"/>
      <w:szCs w:val="24"/>
      <w:lang w:val="en-US" w:eastAsia="zh-CN" w:bidi="en-US"/>
    </w:rPr>
  </w:style>
  <w:style w:type="paragraph" w:styleId="5">
    <w:name w:val="heading 5"/>
    <w:next w:val="a"/>
    <w:qFormat/>
    <w:pPr>
      <w:widowControl w:val="0"/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eastAsia="Lucida Sans Unicode" w:hAnsi="XO Thames" w:cs="Tahoma"/>
      <w:b/>
      <w:bCs/>
      <w:color w:val="000000"/>
      <w:sz w:val="22"/>
      <w:szCs w:val="22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21">
    <w:name w:val="Заголовок2"/>
    <w:basedOn w:val="a"/>
    <w:next w:val="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next w:val="a"/>
    <w:pPr>
      <w:spacing w:after="140" w:line="276" w:lineRule="auto"/>
    </w:pPr>
  </w:style>
  <w:style w:type="paragraph" w:styleId="a4">
    <w:name w:val="List"/>
    <w:basedOn w:val="a3"/>
    <w:next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next w:val="a"/>
    <w:pPr>
      <w:widowControl w:val="0"/>
      <w:suppressAutoHyphens/>
      <w:spacing w:before="567" w:after="567"/>
      <w:jc w:val="center"/>
    </w:pPr>
    <w:rPr>
      <w:rFonts w:ascii="XO Thames" w:eastAsia="Lucida Sans Unicode" w:hAnsi="XO Thames" w:cs="Tahoma"/>
      <w:b/>
      <w:bCs/>
      <w:caps/>
      <w:color w:val="000000"/>
      <w:sz w:val="40"/>
      <w:szCs w:val="40"/>
      <w:lang w:val="en-US" w:eastAsia="zh-CN" w:bidi="en-US"/>
    </w:rPr>
  </w:style>
  <w:style w:type="paragraph" w:customStyle="1" w:styleId="WW8Num2z41">
    <w:name w:val="WW8Num2z4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a6">
    <w:name w:val="Верхний и нижний колонтитулы"/>
    <w:basedOn w:val="a"/>
    <w:next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7">
    <w:name w:val="Колонтитул"/>
    <w:basedOn w:val="a"/>
    <w:next w:val="a"/>
  </w:style>
  <w:style w:type="paragraph" w:styleId="a8">
    <w:name w:val="footer"/>
    <w:basedOn w:val="a"/>
    <w:next w:val="a"/>
    <w:pPr>
      <w:tabs>
        <w:tab w:val="center" w:pos="4819"/>
        <w:tab w:val="right" w:pos="9638"/>
      </w:tabs>
    </w:pPr>
  </w:style>
  <w:style w:type="paragraph" w:customStyle="1" w:styleId="WW8Num2z51">
    <w:name w:val="WW8Num2z5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10">
    <w:name w:val="Указатель1"/>
    <w:basedOn w:val="a"/>
    <w:next w:val="a"/>
  </w:style>
  <w:style w:type="paragraph" w:styleId="23">
    <w:name w:val="toc 2"/>
    <w:next w:val="a"/>
    <w:pPr>
      <w:widowControl w:val="0"/>
      <w:suppressAutoHyphens/>
      <w:ind w:left="2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customStyle="1" w:styleId="11">
    <w:name w:val="Обычный1"/>
    <w:pPr>
      <w:tabs>
        <w:tab w:val="left" w:pos="709"/>
      </w:tabs>
      <w:suppressAutoHyphens/>
      <w:spacing w:after="200" w:line="276" w:lineRule="auto"/>
    </w:pPr>
    <w:rPr>
      <w:rFonts w:eastAsia="Lucida Sans Unicode" w:cs="Tahoma"/>
      <w:color w:val="00000A"/>
      <w:sz w:val="24"/>
      <w:szCs w:val="24"/>
      <w:lang w:val="en-US" w:eastAsia="zh-CN" w:bidi="en-US"/>
    </w:rPr>
  </w:style>
  <w:style w:type="paragraph" w:customStyle="1" w:styleId="12">
    <w:name w:val="Верхний колонтитул1"/>
    <w:basedOn w:val="11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paragraph" w:styleId="40">
    <w:name w:val="toc 4"/>
    <w:next w:val="a"/>
    <w:pPr>
      <w:widowControl w:val="0"/>
      <w:suppressAutoHyphens/>
      <w:ind w:left="6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customStyle="1" w:styleId="13">
    <w:name w:val="Основной шрифт абзаца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a9">
    <w:name w:val="Текст выноски Знак"/>
    <w:basedOn w:val="13"/>
    <w:next w:val="13"/>
    <w:rPr>
      <w:rFonts w:ascii="Tahoma" w:hAnsi="Tahoma"/>
      <w:sz w:val="16"/>
      <w:szCs w:val="16"/>
    </w:rPr>
  </w:style>
  <w:style w:type="paragraph" w:styleId="6">
    <w:name w:val="toc 6"/>
    <w:next w:val="a"/>
    <w:pPr>
      <w:widowControl w:val="0"/>
      <w:suppressAutoHyphens/>
      <w:ind w:left="10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styleId="7">
    <w:name w:val="toc 7"/>
    <w:next w:val="a"/>
    <w:pPr>
      <w:widowControl w:val="0"/>
      <w:suppressAutoHyphens/>
      <w:ind w:left="12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customStyle="1" w:styleId="110">
    <w:name w:val="Заголовок 11"/>
    <w:basedOn w:val="a"/>
    <w:next w:val="a"/>
    <w:pPr>
      <w:keepNext/>
      <w:tabs>
        <w:tab w:val="left" w:pos="0"/>
      </w:tabs>
      <w:jc w:val="center"/>
    </w:pPr>
    <w:rPr>
      <w:b/>
      <w:bCs/>
      <w:sz w:val="44"/>
      <w:szCs w:val="44"/>
    </w:rPr>
  </w:style>
  <w:style w:type="paragraph" w:styleId="aa">
    <w:name w:val="endnote text"/>
    <w:pPr>
      <w:widowControl w:val="0"/>
      <w:suppressAutoHyphens/>
      <w:ind w:firstLine="851"/>
      <w:jc w:val="both"/>
    </w:pPr>
    <w:rPr>
      <w:rFonts w:ascii="XO Thames" w:eastAsia="Lucida Sans Unicode" w:hAnsi="XO Thames" w:cs="Tahoma"/>
      <w:color w:val="000000"/>
      <w:sz w:val="22"/>
      <w:szCs w:val="22"/>
      <w:lang w:val="en-US" w:eastAsia="zh-CN" w:bidi="en-US"/>
    </w:rPr>
  </w:style>
  <w:style w:type="paragraph" w:styleId="ab">
    <w:name w:val="Balloon Text"/>
    <w:basedOn w:val="a"/>
    <w:next w:val="a"/>
    <w:rPr>
      <w:rFonts w:ascii="Tahoma" w:hAnsi="Tahoma"/>
      <w:sz w:val="16"/>
      <w:szCs w:val="16"/>
    </w:rPr>
  </w:style>
  <w:style w:type="paragraph" w:customStyle="1" w:styleId="14">
    <w:name w:val="Название объекта1"/>
    <w:basedOn w:val="a"/>
    <w:next w:val="a"/>
    <w:pPr>
      <w:spacing w:before="120" w:after="120"/>
    </w:pPr>
    <w:rPr>
      <w:i/>
      <w:iCs/>
    </w:rPr>
  </w:style>
  <w:style w:type="paragraph" w:customStyle="1" w:styleId="WW8Num2z71">
    <w:name w:val="WW8Num2z7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WW8Num2z11">
    <w:name w:val="WW8Num2z1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styleId="ac">
    <w:name w:val="header"/>
    <w:basedOn w:val="a"/>
    <w:next w:val="a"/>
    <w:pPr>
      <w:tabs>
        <w:tab w:val="center" w:pos="4819"/>
        <w:tab w:val="right" w:pos="9638"/>
      </w:tabs>
    </w:p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line="100" w:lineRule="atLeast"/>
    </w:pPr>
    <w:rPr>
      <w:rFonts w:ascii="Arial" w:eastAsia="Lucida Sans Unicode" w:hAnsi="Arial" w:cs="Tahoma"/>
      <w:b/>
      <w:bCs/>
      <w:color w:val="00000A"/>
      <w:lang w:val="en-US" w:eastAsia="zh-CN" w:bidi="en-US"/>
    </w:rPr>
  </w:style>
  <w:style w:type="paragraph" w:customStyle="1" w:styleId="WW8Num2z21">
    <w:name w:val="WW8Num2z2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210">
    <w:name w:val="Заголовок 21"/>
    <w:basedOn w:val="a"/>
    <w:next w:val="a"/>
    <w:pPr>
      <w:keepNext/>
      <w:tabs>
        <w:tab w:val="left" w:pos="0"/>
      </w:tabs>
      <w:jc w:val="center"/>
    </w:pPr>
    <w:rPr>
      <w:b/>
      <w:bCs/>
    </w:rPr>
  </w:style>
  <w:style w:type="paragraph" w:styleId="30">
    <w:name w:val="toc 3"/>
    <w:next w:val="a"/>
    <w:pPr>
      <w:widowControl w:val="0"/>
      <w:suppressAutoHyphens/>
      <w:ind w:left="4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customStyle="1" w:styleId="WW8Num2z31">
    <w:name w:val="WW8Num2z3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ad">
    <w:name w:val="Содержимое таблицы"/>
    <w:basedOn w:val="a"/>
    <w:next w:val="a"/>
  </w:style>
  <w:style w:type="paragraph" w:customStyle="1" w:styleId="ae">
    <w:name w:val="Заголовок таблицы"/>
    <w:basedOn w:val="ad"/>
    <w:next w:val="ad"/>
    <w:pPr>
      <w:jc w:val="center"/>
    </w:pPr>
    <w:rPr>
      <w:b/>
      <w:bCs/>
    </w:rPr>
  </w:style>
  <w:style w:type="paragraph" w:customStyle="1" w:styleId="af">
    <w:name w:val="Нижний колонтитул Знак"/>
    <w:basedOn w:val="13"/>
    <w:next w:val="13"/>
    <w:rPr>
      <w:rFonts w:ascii="Times New Roman" w:hAnsi="Times New Roman" w:cs="Times New Roman"/>
      <w:sz w:val="20"/>
      <w:szCs w:val="20"/>
    </w:rPr>
  </w:style>
  <w:style w:type="paragraph" w:customStyle="1" w:styleId="WW8Num2z81">
    <w:name w:val="WW8Num2z8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Internetlink">
    <w:name w:val="Internet link"/>
    <w:pPr>
      <w:widowControl w:val="0"/>
      <w:suppressAutoHyphens/>
    </w:pPr>
    <w:rPr>
      <w:rFonts w:ascii="Calibri" w:eastAsia="Lucida Sans Unicode" w:hAnsi="Calibri" w:cs="Tahoma"/>
      <w:color w:val="0000FF"/>
      <w:sz w:val="22"/>
      <w:szCs w:val="22"/>
      <w:u w:val="single"/>
      <w:lang w:val="en-US" w:eastAsia="zh-CN" w:bidi="en-US"/>
    </w:rPr>
  </w:style>
  <w:style w:type="paragraph" w:styleId="af0">
    <w:name w:val="footnote text"/>
    <w:pPr>
      <w:widowControl w:val="0"/>
      <w:suppressAutoHyphens/>
      <w:ind w:firstLine="851"/>
      <w:jc w:val="both"/>
    </w:pPr>
    <w:rPr>
      <w:rFonts w:ascii="XO Thames" w:eastAsia="Lucida Sans Unicode" w:hAnsi="XO Thames" w:cs="Tahoma"/>
      <w:color w:val="000000"/>
      <w:sz w:val="22"/>
      <w:szCs w:val="22"/>
      <w:lang w:val="en-US" w:eastAsia="zh-CN" w:bidi="en-US"/>
    </w:rPr>
  </w:style>
  <w:style w:type="paragraph" w:styleId="15">
    <w:name w:val="toc 1"/>
    <w:next w:val="a"/>
    <w:pPr>
      <w:widowControl w:val="0"/>
      <w:suppressAutoHyphens/>
    </w:pPr>
    <w:rPr>
      <w:rFonts w:ascii="XO Thames" w:eastAsia="Lucida Sans Unicode" w:hAnsi="XO Thames" w:cs="Tahoma"/>
      <w:b/>
      <w:bCs/>
      <w:color w:val="000000"/>
      <w:sz w:val="28"/>
      <w:szCs w:val="28"/>
      <w:lang w:val="en-US" w:eastAsia="zh-CN" w:bidi="en-US"/>
    </w:rPr>
  </w:style>
  <w:style w:type="paragraph" w:customStyle="1" w:styleId="WW8Num2z61">
    <w:name w:val="WW8Num2z61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customStyle="1" w:styleId="16">
    <w:name w:val="Нижний колонтитул1"/>
    <w:basedOn w:val="a"/>
    <w:next w:val="a"/>
    <w:pPr>
      <w:tabs>
        <w:tab w:val="center" w:pos="4677"/>
        <w:tab w:val="right" w:pos="9355"/>
      </w:tabs>
    </w:pPr>
  </w:style>
  <w:style w:type="paragraph" w:customStyle="1" w:styleId="0pt">
    <w:name w:val="Основной текст + Интервал 0 pt"/>
    <w:pPr>
      <w:widowControl w:val="0"/>
      <w:suppressAutoHyphens/>
    </w:pPr>
    <w:rPr>
      <w:rFonts w:eastAsia="Lucida Sans Unicode" w:cs="Tahoma"/>
      <w:color w:val="000000"/>
      <w:sz w:val="26"/>
      <w:szCs w:val="26"/>
      <w:lang w:val="en-US" w:eastAsia="zh-CN" w:bidi="en-US"/>
    </w:rPr>
  </w:style>
  <w:style w:type="paragraph" w:styleId="9">
    <w:name w:val="toc 9"/>
    <w:next w:val="a"/>
    <w:pPr>
      <w:widowControl w:val="0"/>
      <w:suppressAutoHyphens/>
      <w:ind w:left="16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styleId="af1">
    <w:name w:val="List Paragraph"/>
    <w:basedOn w:val="a"/>
    <w:next w:val="a"/>
    <w:qFormat/>
    <w:pPr>
      <w:ind w:left="720"/>
    </w:pPr>
  </w:style>
  <w:style w:type="paragraph" w:customStyle="1" w:styleId="24">
    <w:name w:val="Название объекта2"/>
    <w:basedOn w:val="a"/>
    <w:next w:val="a"/>
    <w:pPr>
      <w:spacing w:before="120" w:after="120"/>
    </w:pPr>
    <w:rPr>
      <w:i/>
      <w:iCs/>
    </w:rPr>
  </w:style>
  <w:style w:type="paragraph" w:styleId="8">
    <w:name w:val="toc 8"/>
    <w:next w:val="a"/>
    <w:pPr>
      <w:widowControl w:val="0"/>
      <w:suppressAutoHyphens/>
      <w:ind w:left="14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customStyle="1" w:styleId="17">
    <w:name w:val="Заголовок1"/>
    <w:basedOn w:val="a"/>
    <w:next w:val="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50">
    <w:name w:val="toc 5"/>
    <w:next w:val="a"/>
    <w:pPr>
      <w:widowControl w:val="0"/>
      <w:suppressAutoHyphens/>
      <w:ind w:left="800"/>
    </w:pPr>
    <w:rPr>
      <w:rFonts w:ascii="XO Thames" w:eastAsia="Lucida Sans Unicode" w:hAnsi="XO Thames" w:cs="Tahoma"/>
      <w:color w:val="000000"/>
      <w:sz w:val="28"/>
      <w:szCs w:val="28"/>
      <w:lang w:val="en-US" w:eastAsia="zh-CN" w:bidi="en-US"/>
    </w:rPr>
  </w:style>
  <w:style w:type="paragraph" w:customStyle="1" w:styleId="WW8Num2z01">
    <w:name w:val="WW8Num2z01"/>
    <w:pPr>
      <w:widowControl w:val="0"/>
      <w:suppressAutoHyphens/>
    </w:pPr>
    <w:rPr>
      <w:rFonts w:eastAsia="Lucida Sans Unicode" w:cs="Tahoma"/>
      <w:color w:val="000000"/>
      <w:sz w:val="22"/>
      <w:szCs w:val="22"/>
      <w:lang w:val="en-US" w:eastAsia="zh-CN" w:bidi="en-US"/>
    </w:rPr>
  </w:style>
  <w:style w:type="paragraph" w:customStyle="1" w:styleId="25">
    <w:name w:val="Обычный2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2"/>
      <w:lang w:val="en-US" w:eastAsia="zh-CN" w:bidi="en-US"/>
    </w:rPr>
  </w:style>
  <w:style w:type="paragraph" w:styleId="af2">
    <w:name w:val="Subtitle"/>
    <w:next w:val="a"/>
    <w:qFormat/>
    <w:pPr>
      <w:widowControl w:val="0"/>
      <w:suppressAutoHyphens/>
      <w:jc w:val="both"/>
    </w:pPr>
    <w:rPr>
      <w:rFonts w:ascii="XO Thames" w:eastAsia="Lucida Sans Unicode" w:hAnsi="XO Thames" w:cs="Tahoma"/>
      <w:i/>
      <w:iCs/>
      <w:color w:val="000000"/>
      <w:sz w:val="24"/>
      <w:szCs w:val="24"/>
      <w:lang w:val="en-US" w:eastAsia="zh-CN" w:bidi="en-US"/>
    </w:rPr>
  </w:style>
  <w:style w:type="paragraph" w:customStyle="1" w:styleId="af3">
    <w:name w:val="Цветовое выделение"/>
    <w:pPr>
      <w:widowControl w:val="0"/>
      <w:suppressAutoHyphens/>
    </w:pPr>
    <w:rPr>
      <w:rFonts w:ascii="Calibri" w:eastAsia="Lucida Sans Unicode" w:hAnsi="Calibri" w:cs="Tahoma"/>
      <w:b/>
      <w:bCs/>
      <w:color w:val="000080"/>
      <w:sz w:val="22"/>
      <w:szCs w:val="22"/>
      <w:lang w:val="en-US" w:eastAsia="zh-CN" w:bidi="en-US"/>
    </w:rPr>
  </w:style>
  <w:style w:type="paragraph" w:customStyle="1" w:styleId="af4">
    <w:name w:val="Верхний колонтитул Знак"/>
    <w:basedOn w:val="13"/>
    <w:next w:val="13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1800</Words>
  <Characters>10265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2024-12-27T15:13:00Z</cp:lastPrinted>
  <dcterms:created xsi:type="dcterms:W3CDTF">2025-01-21T14:15:00Z</dcterms:created>
  <dcterms:modified xsi:type="dcterms:W3CDTF">2025-01-21T14:15:00Z</dcterms:modified>
</cp:coreProperties>
</file>