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lang w:eastAsia="zxx" w:bidi="zxx"/>
        </w:rPr>
      </w:pPr>
      <w:r>
        <w:rPr/>
        <w:drawing>
          <wp:inline distT="0" distB="0" distL="0" distR="0">
            <wp:extent cx="650875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0" w:right="0" w:hanging="0"/>
        <w:jc w:val="center"/>
        <w:rPr>
          <w:b/>
          <w:b/>
          <w:u w:val="none"/>
          <w:lang w:eastAsia="zxx" w:bidi="zxx"/>
        </w:rPr>
      </w:pPr>
      <w:r>
        <w:rPr>
          <w:b/>
          <w:u w:val="none"/>
          <w:lang w:eastAsia="zxx" w:bidi="zxx"/>
        </w:rPr>
        <w:t>АДМИНИСТРАЦИЯ  МУНИЦИПАЛЬНОГО  ОБРАЗОВАНИЯ</w:t>
      </w:r>
    </w:p>
    <w:p>
      <w:pPr>
        <w:pStyle w:val="2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jc w:val="center"/>
        <w:rPr>
          <w:b/>
          <w:b/>
          <w:bCs/>
          <w:sz w:val="36"/>
          <w:lang w:eastAsia="zxx" w:bidi="zxx"/>
        </w:rPr>
      </w:pPr>
      <w:r>
        <w:rPr>
          <w:b/>
          <w:u w:val="none"/>
          <w:lang w:eastAsia="zxx"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jc w:val="center"/>
        <w:rPr>
          <w:b/>
          <w:b/>
          <w:sz w:val="24"/>
        </w:rPr>
      </w:pPr>
      <w:r>
        <w:rPr>
          <w:b/>
          <w:bCs/>
          <w:sz w:val="36"/>
          <w:lang w:eastAsia="zxx" w:bidi="zxx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>
          <w:b/>
          <w:sz w:val="24"/>
        </w:rPr>
        <w:t xml:space="preserve">от </w:t>
      </w:r>
      <w:r>
        <w:rPr>
          <w:b/>
          <w:sz w:val="24"/>
        </w:rPr>
        <w:t>27</w:t>
      </w:r>
      <w:r>
        <w:rPr>
          <w:b/>
          <w:sz w:val="24"/>
        </w:rPr>
        <w:t>.0</w:t>
      </w:r>
      <w:r>
        <w:rPr>
          <w:b/>
          <w:sz w:val="24"/>
        </w:rPr>
        <w:t>1</w:t>
      </w:r>
      <w:r>
        <w:rPr>
          <w:b/>
          <w:sz w:val="24"/>
          <w:lang w:val="ru-RU"/>
        </w:rPr>
        <w:t>.2025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№ </w:t>
      </w:r>
      <w:r>
        <w:rPr>
          <w:b/>
          <w:sz w:val="24"/>
          <w:lang w:val="ru-RU"/>
        </w:rPr>
        <w:t>74</w:t>
      </w:r>
    </w:p>
    <w:p>
      <w:pPr>
        <w:pStyle w:val="Normal"/>
        <w:spacing w:lineRule="auto" w:line="240" w:before="0" w:after="0"/>
        <w:jc w:val="center"/>
        <w:rPr>
          <w:sz w:val="24"/>
          <w:lang w:eastAsia="zxx" w:bidi="zxx"/>
        </w:rPr>
      </w:pPr>
      <w:r>
        <w:rPr>
          <w:rFonts w:cs="Times New Roman"/>
          <w:sz w:val="24"/>
          <w:szCs w:val="28"/>
          <w:lang w:eastAsia="zxx"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2. Признать утратившим силу постановления администрации муниципального образования Кореновский район от 21 января 2025 года №42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114" w:after="1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                     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от              №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10 908 606,1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6 904 993,7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715 209,0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677 479,4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811 094,4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861 121,1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1 296 432,7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1 238 049,1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1 305 608,0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779 716,5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996,3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69 491,8 тысяч рублей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129 828,0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67 142,6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290 637,1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111 960,6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109 660,1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3 221 636,7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329 597,1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384 324,2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470 863,7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465 907,3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540 407,1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540 416,4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490 120,9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2 259,2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cs="Times New Roman"/>
          <w:sz w:val="28"/>
          <w:lang w:eastAsia="en-US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О</w:t>
      </w:r>
      <w:r>
        <w:rPr>
          <w:rFonts w:cs="Times New Roman"/>
          <w:sz w:val="28"/>
          <w:szCs w:val="28"/>
          <w:lang w:eastAsia="en-US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cs="Times New Roman"/>
          <w:sz w:val="28"/>
          <w:szCs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9408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12,1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автобус-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52,8 %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2020–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5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9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10908606,1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1296432,7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1238049,1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1305608,0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290637,1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111960,6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109660,1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540407,1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540416,4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490120,9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2127476,9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1890426,1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1905389,0</w:t>
            </w:r>
          </w:p>
        </w:tc>
      </w:tr>
      <w:tr>
        <w:trPr/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8542876,3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1078448,2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1153367,6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72191,5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72767,4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392147,6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1432387,6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1542787,3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1619123,2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1460926,4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253068,7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69007,7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57253,8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220166,2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39769,1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36892,7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92046,2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49327,2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565712,9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200823,0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143473,7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523383,1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75191,4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78308,3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72823,5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76581,4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79698,3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381420,3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15401,8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16678,3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48545,4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46415,5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56542,9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70234,4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63093,8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/>
              <w:snapToGrid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8 542 876,3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324 939,0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33 669,7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35 967,9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39 871,6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70 470,9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72 191,5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72 767,4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5 778 629,0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583 724,7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586 134,0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661 236,9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751 859,2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963 858,4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1 078 448,2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1 153 367,6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2 439 308,3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252 323,6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290 794,9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361 377,2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351 618,5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398 058,3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392 147,6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392 988,2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8542876,3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1078448,2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1153367,6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72191,5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72767,4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392147,6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392988,2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3"/>
        <w:gridCol w:w="5357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pPr w:bottomFromText="0" w:horzAnchor="text" w:leftFromText="180" w:rightFromText="180" w:tblpX="-714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8021248,8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1338340,1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1441812,2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1517831,4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5727070,1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1072544,4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1147273,0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2294178,7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379979,3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369267,8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370558,4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4512360,6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763535,4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820798,2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863297,8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3688102,1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698164,6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740664,2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824258,5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126489,3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3033393,0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500350,0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537078,2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569307,2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2038968,0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374379,8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406608,8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994425,0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164994,5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433093,1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69347,6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433093,1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69437,6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 xml:space="preserve">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компенсации за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23190,9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2909,8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Отношение среднего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23190,9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2909,8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25881,3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3558,6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22750,6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312412,2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301189,0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1 460 926,4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454 777,5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996,3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35 822,1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93 860,1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27 271,0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220 166,2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39 769,1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36 892,7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551 005,7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61 484,1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14 230,1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72 076,9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23 884,4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253 068,7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69 007,7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57 253,8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452 884,0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39 507,9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52 952,2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59 335,3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67 237,2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92 478,0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92 046,2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49 327,2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2 259,2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OLE_LINK1"/>
            <w:bookmarkStart w:id="3" w:name="OLE_LINK2"/>
            <w:bookmarkEnd w:id="2"/>
            <w:bookmarkEnd w:id="3"/>
            <w:r>
              <w:rPr>
                <w:rFonts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ввести дополнительные мест в системе дошкольного образования </w:t>
      </w: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1460926,4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69007,7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57253,8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39769,1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36892,7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92046,2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49327,2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pPr w:bottomFromText="0" w:horzAnchor="text" w:leftFromText="180" w:rightFromText="180" w:tblpX="-572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автобусов 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микроавтобусов,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183757,1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46732,2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183757,1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46732,2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8"/>
                <w:szCs w:val="28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183757,1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46732,2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183757,1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46732,2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34985,6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сельской местности и малых городах (создание (обновление) материально-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технической базы для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5" w:hanging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309213,5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48444,0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53110,6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49269,2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80827,9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10231,4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11217,0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216016,7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36274,8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39769,1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36892,7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12368,9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ежемесячной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63458,6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13612,5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13106,5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 с ограниченными возможностями здоровья, охваченных бесплатным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41247,9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22210,7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4587,3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 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8"/>
                <w:szCs w:val="28"/>
              </w:rPr>
              <w:t>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преставления общедоступного и бесплатного до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443744,1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188228,1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Субвенция на осуществление отдельных государственных полномочий по обеспечению одноразовым бесплатным 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24092,1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25187,7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одноразовым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24092,1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25187,7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sectPr>
          <w:headerReference w:type="default" r:id="rId4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6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523 383,1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509 222,7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64 134,1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70 869,2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71 110,5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78 100,7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75 191,4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78 308,3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14 160,4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1 130,0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6 426,9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1 325,0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523383,1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75191,4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78308,3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509222,7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75191,4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78308,3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509222,7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75191,4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78308,3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4495,6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4675,4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4495,6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4675,4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</w:t>
            </w: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220258,8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31943,1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33220,9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220258,8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31943,1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33220,9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205631,9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30099,9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205631,9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30099,9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6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72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7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381 420,3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66 136,3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5 866,1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6 246,1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6 670,1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7 276,8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7 997,1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15 401,8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16 678,3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315 284,0 тысяч рублей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36 775,6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39 447,1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43 724,3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45 543,1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48 545,8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54 832,6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46 415,5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 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подпрограммы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381420,3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15401,8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16678,3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46415,5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309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8216" w:type="dxa"/>
            <w:gridSpan w:val="4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381420,3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70234,4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63093,8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66136,3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15401,8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16678,3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315284,0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54832,6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46415,5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59953,1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59871,0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306924,3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57667,9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53605,8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66054,2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15401,8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16678,3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240870,1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42266,1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36927,5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/>
      </w:r>
    </w:p>
    <w:sectPr>
      <w:headerReference w:type="default" r:id="rId8"/>
      <w:type w:val="nextPage"/>
      <w:pgSz w:orient="landscape" w:w="16838" w:h="11906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outlineLvl w:val="1"/>
    </w:pPr>
    <w:rPr>
      <w:sz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3" w:customStyle="1">
    <w:name w:val="Нижний колонтитул Знак"/>
    <w:basedOn w:val="DefaultParagraphFont"/>
    <w:link w:val="a5"/>
    <w:qFormat/>
    <w:rsid w:val="00790c66"/>
    <w:rPr>
      <w:rFonts w:ascii="Calibri" w:hAnsi="Calibri" w:eastAsia="Calibri" w:cs="Calibri"/>
      <w:lang w:eastAsia="zh-CN"/>
    </w:rPr>
  </w:style>
  <w:style w:type="character" w:styleId="Style14" w:customStyle="1">
    <w:name w:val="Текст выноски Знак"/>
    <w:basedOn w:val="DefaultParagraphFont"/>
    <w:link w:val="a7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be40c5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be40c5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Прижатый влево"/>
    <w:basedOn w:val="Normal"/>
    <w:qFormat/>
    <w:rsid w:val="00be40c5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4" w:customStyle="1">
    <w:name w:val="Нормальный (таблица)"/>
    <w:basedOn w:val="Normal"/>
    <w:qFormat/>
    <w:rsid w:val="00be40c5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5" w:customStyle="1">
    <w:name w:val="Содержимое таблицы"/>
    <w:basedOn w:val="Standard"/>
    <w:qFormat/>
    <w:rsid w:val="00be40c5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be40c5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be40c5"/>
    <w:pPr>
      <w:spacing w:before="0" w:after="283"/>
    </w:pPr>
    <w:rPr/>
  </w:style>
  <w:style w:type="paragraph" w:styleId="ListParagraph">
    <w:name w:val="List Paragraph"/>
    <w:basedOn w:val="Normal"/>
    <w:uiPriority w:val="34"/>
    <w:qFormat/>
    <w:rsid w:val="00be40c5"/>
    <w:pPr>
      <w:suppressAutoHyphens w:val="false"/>
      <w:spacing w:lineRule="auto" w:line="259" w:before="0" w:after="160"/>
      <w:ind w:left="720" w:hanging="0"/>
      <w:contextualSpacing/>
    </w:pPr>
    <w:rPr>
      <w:rFonts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be40c5"/>
  </w:style>
  <w:style w:type="numbering" w:styleId="111" w:customStyle="1">
    <w:name w:val="Нет списка11"/>
    <w:uiPriority w:val="99"/>
    <w:semiHidden/>
    <w:unhideWhenUsed/>
    <w:qFormat/>
    <w:rsid w:val="00be40c5"/>
  </w:style>
  <w:style w:type="numbering" w:styleId="21" w:customStyle="1">
    <w:name w:val="Нет списка2"/>
    <w:uiPriority w:val="99"/>
    <w:semiHidden/>
    <w:unhideWhenUsed/>
    <w:qFormat/>
    <w:rsid w:val="00be40c5"/>
  </w:style>
  <w:style w:type="numbering" w:styleId="12" w:customStyle="1">
    <w:name w:val="Нет списка12"/>
    <w:uiPriority w:val="99"/>
    <w:semiHidden/>
    <w:unhideWhenUsed/>
    <w:qFormat/>
    <w:rsid w:val="00be40c5"/>
  </w:style>
  <w:style w:type="numbering" w:styleId="3" w:customStyle="1">
    <w:name w:val="Нет списка3"/>
    <w:uiPriority w:val="99"/>
    <w:semiHidden/>
    <w:unhideWhenUsed/>
    <w:qFormat/>
    <w:rsid w:val="004b74ff"/>
  </w:style>
  <w:style w:type="numbering" w:styleId="13" w:customStyle="1">
    <w:name w:val="Нет списка13"/>
    <w:uiPriority w:val="99"/>
    <w:semiHidden/>
    <w:unhideWhenUsed/>
    <w:qFormat/>
    <w:rsid w:val="004b74ff"/>
  </w:style>
  <w:style w:type="numbering" w:styleId="4" w:customStyle="1">
    <w:name w:val="Нет списка4"/>
    <w:uiPriority w:val="99"/>
    <w:semiHidden/>
    <w:unhideWhenUsed/>
    <w:qFormat/>
    <w:rsid w:val="004b74ff"/>
  </w:style>
  <w:style w:type="numbering" w:styleId="14" w:customStyle="1">
    <w:name w:val="Нет списка14"/>
    <w:uiPriority w:val="99"/>
    <w:semiHidden/>
    <w:unhideWhenUsed/>
    <w:qFormat/>
    <w:rsid w:val="004b74ff"/>
  </w:style>
  <w:style w:type="numbering" w:styleId="5" w:customStyle="1">
    <w:name w:val="Нет списка5"/>
    <w:uiPriority w:val="99"/>
    <w:semiHidden/>
    <w:unhideWhenUsed/>
    <w:qFormat/>
    <w:rsid w:val="00df6f27"/>
  </w:style>
  <w:style w:type="numbering" w:styleId="15" w:customStyle="1">
    <w:name w:val="Нет списка15"/>
    <w:uiPriority w:val="99"/>
    <w:semiHidden/>
    <w:unhideWhenUsed/>
    <w:qFormat/>
    <w:rsid w:val="00df6f27"/>
  </w:style>
  <w:style w:type="numbering" w:styleId="6" w:customStyle="1">
    <w:name w:val="Нет списка6"/>
    <w:uiPriority w:val="99"/>
    <w:semiHidden/>
    <w:unhideWhenUsed/>
    <w:qFormat/>
    <w:rsid w:val="00df6f27"/>
  </w:style>
  <w:style w:type="numbering" w:styleId="16" w:customStyle="1">
    <w:name w:val="Нет списка16"/>
    <w:uiPriority w:val="99"/>
    <w:semiHidden/>
    <w:unhideWhenUsed/>
    <w:qFormat/>
    <w:rsid w:val="00df6f27"/>
  </w:style>
  <w:style w:type="numbering" w:styleId="7" w:customStyle="1">
    <w:name w:val="Нет списка7"/>
    <w:uiPriority w:val="99"/>
    <w:semiHidden/>
    <w:unhideWhenUsed/>
    <w:qFormat/>
    <w:rsid w:val="00df6f27"/>
  </w:style>
  <w:style w:type="numbering" w:styleId="17" w:customStyle="1">
    <w:name w:val="Нет списка17"/>
    <w:uiPriority w:val="99"/>
    <w:semiHidden/>
    <w:unhideWhenUsed/>
    <w:qFormat/>
    <w:rsid w:val="00df6f27"/>
  </w:style>
  <w:style w:type="numbering" w:styleId="8" w:customStyle="1">
    <w:name w:val="Нет списка8"/>
    <w:uiPriority w:val="99"/>
    <w:semiHidden/>
    <w:unhideWhenUsed/>
    <w:qFormat/>
    <w:rsid w:val="00df6f27"/>
  </w:style>
  <w:style w:type="numbering" w:styleId="18" w:customStyle="1">
    <w:name w:val="Нет списка18"/>
    <w:uiPriority w:val="99"/>
    <w:semiHidden/>
    <w:unhideWhenUsed/>
    <w:qFormat/>
    <w:rsid w:val="00df6f27"/>
  </w:style>
  <w:style w:type="numbering" w:styleId="9" w:customStyle="1">
    <w:name w:val="Нет списка9"/>
    <w:uiPriority w:val="99"/>
    <w:semiHidden/>
    <w:unhideWhenUsed/>
    <w:qFormat/>
    <w:rsid w:val="00f7492e"/>
  </w:style>
  <w:style w:type="numbering" w:styleId="19" w:customStyle="1">
    <w:name w:val="Нет списка19"/>
    <w:uiPriority w:val="99"/>
    <w:semiHidden/>
    <w:unhideWhenUsed/>
    <w:qFormat/>
    <w:rsid w:val="00f7492e"/>
  </w:style>
  <w:style w:type="numbering" w:styleId="10" w:customStyle="1">
    <w:name w:val="Нет списка10"/>
    <w:uiPriority w:val="99"/>
    <w:semiHidden/>
    <w:unhideWhenUsed/>
    <w:qFormat/>
    <w:rsid w:val="00f7492e"/>
  </w:style>
  <w:style w:type="numbering" w:styleId="110" w:customStyle="1">
    <w:name w:val="Нет списка110"/>
    <w:uiPriority w:val="99"/>
    <w:semiHidden/>
    <w:unhideWhenUsed/>
    <w:qFormat/>
    <w:rsid w:val="00f7492e"/>
  </w:style>
  <w:style w:type="numbering" w:styleId="20" w:customStyle="1">
    <w:name w:val="Нет списка20"/>
    <w:uiPriority w:val="99"/>
    <w:semiHidden/>
    <w:unhideWhenUsed/>
    <w:qFormat/>
    <w:rsid w:val="00f7492e"/>
  </w:style>
  <w:style w:type="numbering" w:styleId="1111" w:customStyle="1">
    <w:name w:val="Нет списка111"/>
    <w:uiPriority w:val="99"/>
    <w:semiHidden/>
    <w:unhideWhenUsed/>
    <w:qFormat/>
    <w:rsid w:val="00f7492e"/>
  </w:style>
  <w:style w:type="numbering" w:styleId="211" w:customStyle="1">
    <w:name w:val="Нет списка21"/>
    <w:uiPriority w:val="99"/>
    <w:semiHidden/>
    <w:unhideWhenUsed/>
    <w:qFormat/>
    <w:rsid w:val="00f7492e"/>
  </w:style>
  <w:style w:type="numbering" w:styleId="112" w:customStyle="1">
    <w:name w:val="Нет списка112"/>
    <w:uiPriority w:val="99"/>
    <w:semiHidden/>
    <w:unhideWhenUsed/>
    <w:qFormat/>
    <w:rsid w:val="00f7492e"/>
  </w:style>
  <w:style w:type="numbering" w:styleId="22" w:customStyle="1">
    <w:name w:val="Нет списка22"/>
    <w:uiPriority w:val="99"/>
    <w:semiHidden/>
    <w:unhideWhenUsed/>
    <w:qFormat/>
    <w:rsid w:val="00a80cc5"/>
  </w:style>
  <w:style w:type="numbering" w:styleId="113" w:customStyle="1">
    <w:name w:val="Нет списка113"/>
    <w:uiPriority w:val="99"/>
    <w:semiHidden/>
    <w:unhideWhenUsed/>
    <w:qFormat/>
    <w:rsid w:val="00a80cc5"/>
  </w:style>
  <w:style w:type="numbering" w:styleId="23" w:customStyle="1">
    <w:name w:val="Нет списка23"/>
    <w:uiPriority w:val="99"/>
    <w:semiHidden/>
    <w:unhideWhenUsed/>
    <w:qFormat/>
    <w:rsid w:val="00a80cc5"/>
  </w:style>
  <w:style w:type="numbering" w:styleId="114" w:customStyle="1">
    <w:name w:val="Нет списка114"/>
    <w:uiPriority w:val="99"/>
    <w:semiHidden/>
    <w:unhideWhenUsed/>
    <w:qFormat/>
    <w:rsid w:val="00a80cc5"/>
  </w:style>
  <w:style w:type="numbering" w:styleId="24" w:customStyle="1">
    <w:name w:val="Нет списка24"/>
    <w:uiPriority w:val="99"/>
    <w:semiHidden/>
    <w:unhideWhenUsed/>
    <w:qFormat/>
    <w:rsid w:val="00c16e4b"/>
  </w:style>
  <w:style w:type="numbering" w:styleId="115" w:customStyle="1">
    <w:name w:val="Нет списка115"/>
    <w:uiPriority w:val="99"/>
    <w:semiHidden/>
    <w:unhideWhenUsed/>
    <w:qFormat/>
    <w:rsid w:val="00c16e4b"/>
  </w:style>
  <w:style w:type="numbering" w:styleId="25" w:customStyle="1">
    <w:name w:val="Нет списка25"/>
    <w:uiPriority w:val="99"/>
    <w:semiHidden/>
    <w:unhideWhenUsed/>
    <w:qFormat/>
    <w:rsid w:val="00c16e4b"/>
  </w:style>
  <w:style w:type="numbering" w:styleId="116" w:customStyle="1">
    <w:name w:val="Нет списка116"/>
    <w:uiPriority w:val="99"/>
    <w:semiHidden/>
    <w:unhideWhenUsed/>
    <w:qFormat/>
    <w:rsid w:val="00c16e4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f11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f11a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be40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be40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4b74ff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1"/>
    <w:uiPriority w:val="39"/>
    <w:rsid w:val="004b74ff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Сетка таблицы12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Сетка таблицы6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Сетка таблицы7"/>
    <w:basedOn w:val="a1"/>
    <w:uiPriority w:val="39"/>
    <w:rsid w:val="00df6f27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">
    <w:name w:val="Сетка таблицы13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">
    <w:name w:val="Сетка таблицы8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">
    <w:name w:val="Сетка таблицы9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"/>
    <w:basedOn w:val="a1"/>
    <w:uiPriority w:val="39"/>
    <w:rsid w:val="00f7492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">
    <w:name w:val="Сетка таблицы14"/>
    <w:basedOn w:val="a1"/>
    <w:uiPriority w:val="39"/>
    <w:rsid w:val="00a80c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">
    <w:name w:val="Сетка таблицы15"/>
    <w:basedOn w:val="a1"/>
    <w:uiPriority w:val="39"/>
    <w:rsid w:val="00a80cc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">
    <w:name w:val="Сетка таблицы16"/>
    <w:basedOn w:val="a1"/>
    <w:uiPriority w:val="39"/>
    <w:rsid w:val="00c16e4b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">
    <w:name w:val="Сетка таблицы17"/>
    <w:basedOn w:val="a1"/>
    <w:uiPriority w:val="39"/>
    <w:rsid w:val="00c16e4b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12717F-65FA-465D-BE75-5E5838D0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LibreOffice/7.0.1.2$Windows_X86_64 LibreOffice_project/7cbcfc562f6eb6708b5ff7d7397325de9e764452</Application>
  <Pages>104</Pages>
  <Words>18021</Words>
  <Characters>128078</Characters>
  <CharactersWithSpaces>140860</CharactersWithSpaces>
  <Paragraphs>6253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2024-05-13T09:34:00Z</dcterms:created>
  <dc:creator>Специалист</dc:creator>
  <dc:description/>
  <dc:language>ru-RU</dc:language>
  <cp:lastModifiedBy/>
  <dcterms:modified xsi:type="dcterms:W3CDTF">2025-02-13T09:52:27Z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