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4B51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color w:val="00000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ed="t">
            <v:fill color2="black"/>
            <v:imagedata r:id="rId7" o:title="" croptop="-7f" cropbottom="-7f" cropleft="-9f" cropright="-9f"/>
          </v:shape>
        </w:pict>
      </w:r>
    </w:p>
    <w:p w:rsidR="00000000" w:rsidRDefault="00054B51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АДМИНИСТРАЦИЯ  МУНИЦИПАЛЬНОГО  ОБРАЗОВАНИЯ</w:t>
      </w:r>
    </w:p>
    <w:p w:rsidR="00000000" w:rsidRDefault="00054B51">
      <w:pPr>
        <w:tabs>
          <w:tab w:val="left" w:pos="0"/>
        </w:tabs>
        <w:autoSpaceDE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КОРЕНОВСКИЙ  РАЙОН</w:t>
      </w:r>
    </w:p>
    <w:p w:rsidR="00000000" w:rsidRDefault="00054B51">
      <w:pPr>
        <w:tabs>
          <w:tab w:val="left" w:pos="0"/>
        </w:tabs>
        <w:autoSpaceDE w:val="0"/>
        <w:spacing w:before="108" w:after="108" w:line="36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</w:t>
      </w:r>
      <w:r>
        <w:rPr>
          <w:rFonts w:ascii="Times New Roman" w:eastAsia="Calibri" w:hAnsi="Times New Roman"/>
          <w:b/>
          <w:bCs/>
          <w:color w:val="000000"/>
          <w:sz w:val="36"/>
          <w:szCs w:val="36"/>
        </w:rPr>
        <w:t>ПОСТАНОВЛЕНИЕ</w:t>
      </w:r>
    </w:p>
    <w:p w:rsidR="00000000" w:rsidRDefault="00054B51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от 12.02.2025                                                                                                               №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211</w:t>
      </w:r>
    </w:p>
    <w:p w:rsidR="00000000" w:rsidRDefault="00054B51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г. Кореновск</w:t>
      </w:r>
    </w:p>
    <w:p w:rsidR="00000000" w:rsidRDefault="00054B5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 Муниципального коо</w:t>
      </w:r>
      <w:r>
        <w:rPr>
          <w:rFonts w:ascii="Times New Roman" w:hAnsi="Times New Roman"/>
          <w:b/>
          <w:sz w:val="28"/>
          <w:szCs w:val="28"/>
        </w:rPr>
        <w:t>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8 статьи 6 Федерального закона от 14 июля 2022 года № 261-ФЗ «О российском движении</w:t>
      </w:r>
      <w:r>
        <w:rPr>
          <w:rFonts w:ascii="Times New Roman" w:hAnsi="Times New Roman"/>
          <w:sz w:val="28"/>
          <w:szCs w:val="28"/>
        </w:rPr>
        <w:t xml:space="preserve"> детей и молодежи», руководствуясь Уставом муниципального образования Кореновский район от 29 марта 2017г. № 198, в целях координации деятельности и поддержки Местного отделения Общероссийского общественно - государственного  движения  детей  и  молодежи «</w:t>
      </w:r>
      <w:r>
        <w:rPr>
          <w:rFonts w:ascii="Times New Roman" w:hAnsi="Times New Roman"/>
          <w:sz w:val="28"/>
          <w:szCs w:val="28"/>
        </w:rPr>
        <w:t>Движение первых», администрация муниципального образования    Кореновский район п о с т а н о в л я е т: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Муниципальный координационный совет по взаимодействию с Местным отделением Общероссийского общественногосударственного движения детей и моло</w:t>
      </w:r>
      <w:r>
        <w:rPr>
          <w:rFonts w:ascii="Times New Roman" w:hAnsi="Times New Roman"/>
          <w:sz w:val="28"/>
          <w:szCs w:val="28"/>
        </w:rPr>
        <w:t xml:space="preserve">дежи «Движение первых». </w:t>
      </w:r>
    </w:p>
    <w:p w:rsidR="00000000" w:rsidRDefault="00054B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Утвердить: 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Положение о Муниципальном координационном совете по взаимодействию с Местным отделением Общероссийского общественногосударственного движения детей и молодежи «Движение первых» (Приложение № 1); 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Состав Муни</w:t>
      </w:r>
      <w:r>
        <w:rPr>
          <w:rFonts w:ascii="Times New Roman" w:hAnsi="Times New Roman"/>
          <w:sz w:val="28"/>
          <w:szCs w:val="28"/>
        </w:rPr>
        <w:t>ципального координационного совета по взаимодействию с местным отделением российского движения детей и молодежи «Движение Первых» (Приложение № 2).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</w:t>
      </w:r>
      <w:r>
        <w:rPr>
          <w:rFonts w:ascii="Times New Roman" w:hAnsi="Times New Roman"/>
          <w:color w:val="000000"/>
          <w:sz w:val="28"/>
          <w:szCs w:val="28"/>
        </w:rPr>
        <w:t>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054B5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>Контроль за выполнением на</w:t>
      </w:r>
      <w:r>
        <w:rPr>
          <w:rFonts w:ascii="Times New Roman" w:hAnsi="Times New Roman"/>
          <w:color w:val="000000"/>
          <w:sz w:val="28"/>
          <w:szCs w:val="28"/>
        </w:rPr>
        <w:t xml:space="preserve">стоящего постановления возложить на заместителя главы муниципального образования Кореновский район </w:t>
      </w:r>
    </w:p>
    <w:p w:rsidR="00000000" w:rsidRDefault="00054B5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Т.Г. Ковалеву.</w:t>
      </w:r>
    </w:p>
    <w:p w:rsidR="00000000" w:rsidRDefault="00054B5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Постановление вступает в силу со дня подписания. </w:t>
      </w:r>
    </w:p>
    <w:p w:rsidR="00000000" w:rsidRDefault="00054B5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054B5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054B51">
      <w:pPr>
        <w:spacing w:after="0" w:line="240" w:lineRule="auto"/>
        <w:ind w:right="-1"/>
        <w:contextualSpacing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А.П. </w:t>
      </w:r>
      <w:r>
        <w:rPr>
          <w:rFonts w:ascii="Times New Roman" w:hAnsi="Times New Roman"/>
          <w:sz w:val="28"/>
          <w:szCs w:val="28"/>
        </w:rPr>
        <w:t>Манько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lastRenderedPageBreak/>
        <w:t>ПРИЛОЖЕНИЕ № 1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от12.02.2025 №211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000000" w:rsidRDefault="00054B51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00000" w:rsidRDefault="00054B51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>о Муниципальном координационном совете по взаимодействию с Местным отделением Общероссийского общественно-государствен</w:t>
      </w:r>
      <w:r>
        <w:rPr>
          <w:rFonts w:ascii="Times New Roman" w:hAnsi="Times New Roman"/>
          <w:b/>
          <w:sz w:val="28"/>
          <w:szCs w:val="28"/>
        </w:rPr>
        <w:t>ного движения детей и молодежи «Движение первых»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00000" w:rsidRDefault="00054B51">
      <w:pPr>
        <w:numPr>
          <w:ilvl w:val="0"/>
          <w:numId w:val="2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первых» (далее - Координационный </w:t>
      </w:r>
      <w:r>
        <w:rPr>
          <w:rFonts w:ascii="Times New Roman" w:hAnsi="Times New Roman"/>
          <w:sz w:val="28"/>
          <w:szCs w:val="28"/>
        </w:rPr>
        <w:t>совет) является коллегиальным совещательным органом, созданным в целях: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координации и мониторинга деятельности Местного и первичных отделений Общероссийского общественно-государственного движения детей и молодежи «Движение первых»;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содействия Местному </w:t>
      </w:r>
      <w:r>
        <w:rPr>
          <w:rFonts w:ascii="Times New Roman" w:hAnsi="Times New Roman"/>
          <w:sz w:val="28"/>
          <w:szCs w:val="28"/>
        </w:rPr>
        <w:t>и первичным отделениям Общероссийского общественно-государственного движения детей и молодежи «Движение первых» (далее – Движение);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разработки и дополнения программ в сферах образования, культуры, спорта, молодежной политики, социальной защиты, партнерс</w:t>
      </w:r>
      <w:r>
        <w:rPr>
          <w:rFonts w:ascii="Times New Roman" w:hAnsi="Times New Roman"/>
          <w:sz w:val="28"/>
          <w:szCs w:val="28"/>
        </w:rPr>
        <w:t>ких организаций, отвечающих целям Движения, определенным частью 1 статьи 2 Федерального закона от 14 июля 2022 года № 261-ФЗ «О российском движении детей и молодежи»;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содействия в реализации направлений Движения на территории муниципального округа; - со</w:t>
      </w:r>
      <w:r>
        <w:rPr>
          <w:rFonts w:ascii="Times New Roman" w:hAnsi="Times New Roman"/>
          <w:sz w:val="28"/>
          <w:szCs w:val="28"/>
        </w:rPr>
        <w:t>действия Местному отделению Движения в разработке и реализации мер по поддержке детских и молодежных объединений.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Координационный совет в своей деятельности руководствуется Конституцией Российской Федерации, федеральными конституционными законами, федераль</w:t>
      </w:r>
      <w:r>
        <w:rPr>
          <w:rFonts w:ascii="Times New Roman" w:hAnsi="Times New Roman"/>
          <w:sz w:val="28"/>
          <w:szCs w:val="28"/>
        </w:rPr>
        <w:t>ными законами, иными нормативными правовыми актами Российской Федерации, законами и иными нормативными правовыми актами администрации муниципального образования Кореновский район, а также настоящим Положением.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54B51">
      <w:pPr>
        <w:numPr>
          <w:ilvl w:val="0"/>
          <w:numId w:val="2"/>
        </w:num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Координационного совета</w:t>
      </w:r>
    </w:p>
    <w:p w:rsidR="00000000" w:rsidRDefault="00054B51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ными задачами Координационного совета являются: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взаимодействия с Движением, Местным и первичными </w:t>
      </w:r>
    </w:p>
    <w:p w:rsidR="00000000" w:rsidRDefault="00054B51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отделениями;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участия администрации муниципального образования Кореновский район, структурных подразделений администрации (управ</w:t>
      </w:r>
      <w:r>
        <w:rPr>
          <w:rFonts w:ascii="Times New Roman" w:hAnsi="Times New Roman"/>
          <w:sz w:val="28"/>
          <w:szCs w:val="28"/>
        </w:rPr>
        <w:t>ление образования и молодежной политики администрации муниципального образования Кореновский район, финансовое управление администрации муниципального образования Кореновский район в деятельности Местного и первичных отделений;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содействие осуществлению </w:t>
      </w:r>
      <w:r>
        <w:rPr>
          <w:rFonts w:ascii="Times New Roman" w:hAnsi="Times New Roman"/>
          <w:sz w:val="28"/>
          <w:szCs w:val="28"/>
        </w:rPr>
        <w:t>профессиональной ориентации детей и молодежи с привлечением муниципальных и областных организаций;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вовлечение в работу местного и первичных отделений Движения детско-юношеских и молодежных объединений, осуществляющих социально значимую деятельность на о</w:t>
      </w:r>
      <w:r>
        <w:rPr>
          <w:rFonts w:ascii="Times New Roman" w:hAnsi="Times New Roman"/>
          <w:sz w:val="28"/>
          <w:szCs w:val="28"/>
        </w:rPr>
        <w:t xml:space="preserve">бластном и муниципальном уровнях;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взаимодействия с образовательными организациями,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</w:t>
      </w:r>
      <w:r>
        <w:rPr>
          <w:rFonts w:ascii="Times New Roman" w:hAnsi="Times New Roman"/>
          <w:sz w:val="28"/>
          <w:szCs w:val="28"/>
        </w:rPr>
        <w:t xml:space="preserve">и молодежи;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перспективных всероссийских, краевых и муниципальных детских и молодежных инициатив и проектов и подготовка рекомендаций по их целевой поддержке, в том числе за счет средств бюджета;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комплексный научно-экспертный мониторинг сис</w:t>
      </w:r>
      <w:r>
        <w:rPr>
          <w:rFonts w:ascii="Times New Roman" w:hAnsi="Times New Roman"/>
          <w:sz w:val="28"/>
          <w:szCs w:val="28"/>
        </w:rPr>
        <w:t>темы воспитательной работы с детьми и молодежью в муниципалитете, а также внесение предложений по ее совершенствованию;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содействие по вовлечению в повестку Движения детей и молодежи, находящихся в трудной жизненной ситуации, состоящих на различных профи</w:t>
      </w:r>
      <w:r>
        <w:rPr>
          <w:rFonts w:ascii="Times New Roman" w:hAnsi="Times New Roman"/>
          <w:sz w:val="28"/>
          <w:szCs w:val="28"/>
        </w:rPr>
        <w:t xml:space="preserve">лактических учетах, требующих особого внимания;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экспертной оценке заявок, представляемых на конкурсы и проекты, организованных в рамках деятельности Движения;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содействия в обеспечении финансирования деятельности местного и первичны</w:t>
      </w:r>
      <w:r>
        <w:rPr>
          <w:rFonts w:ascii="Times New Roman" w:hAnsi="Times New Roman"/>
          <w:sz w:val="28"/>
          <w:szCs w:val="28"/>
        </w:rPr>
        <w:t xml:space="preserve">х отделений;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содействие развитию институтов наставничества, менторства и тьюторства в целях совершенствования подходов к работе с детьми и молодежью. В целях реализации своих задач Координационный совет вправе: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запрашивать и получать в установленном </w:t>
      </w:r>
      <w:r>
        <w:rPr>
          <w:rFonts w:ascii="Times New Roman" w:hAnsi="Times New Roman"/>
          <w:sz w:val="28"/>
          <w:szCs w:val="28"/>
        </w:rPr>
        <w:t>порядке необходимую информацию от органов местного самоуправления, а также первичных отделений, общественных объединений и организаций;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свои заседания руководителей и иных представителей органов местного самоуправления, руководителей органи</w:t>
      </w:r>
      <w:r>
        <w:rPr>
          <w:rFonts w:ascii="Times New Roman" w:hAnsi="Times New Roman"/>
          <w:sz w:val="28"/>
          <w:szCs w:val="28"/>
        </w:rPr>
        <w:t xml:space="preserve">заций, на базе которых открыты первичные отделения Движения, партнерских организаций и иных должностных лиц;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создавать рабочие группы по вопросам, относящимся к компетенции Координационного совета.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Состав Координационного совета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Координац</w:t>
      </w:r>
      <w:r>
        <w:rPr>
          <w:rFonts w:ascii="Times New Roman" w:hAnsi="Times New Roman"/>
          <w:sz w:val="28"/>
          <w:szCs w:val="28"/>
        </w:rPr>
        <w:t xml:space="preserve">ионного совета входят председатель, заместитель </w:t>
      </w:r>
    </w:p>
    <w:p w:rsidR="00000000" w:rsidRDefault="00054B51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председателя, секретарь и иные члены Координационного совета, которые принимают участие в его работе на общественных началах.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Председателем Координационного совета является глава муниципального образования К</w:t>
      </w:r>
      <w:r>
        <w:rPr>
          <w:rFonts w:ascii="Times New Roman" w:hAnsi="Times New Roman"/>
          <w:sz w:val="28"/>
          <w:szCs w:val="28"/>
        </w:rPr>
        <w:t xml:space="preserve">ореновский район.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Координационного совета: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руководит работой Координационного совета, определяет перечень, сроки и порядок рассмотрения вопросов на заседаниях Координационного совета;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распределяет полномочия (обязанности) между замести</w:t>
      </w:r>
      <w:r>
        <w:rPr>
          <w:rFonts w:ascii="Times New Roman" w:hAnsi="Times New Roman"/>
          <w:sz w:val="28"/>
          <w:szCs w:val="28"/>
        </w:rPr>
        <w:t xml:space="preserve">телем и членами Координационного совета;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определяет и утверждает повестку дня, дату, время и место проведения заседаний;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подписывает протоколы заседаний и другие документы Координационного совета.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отсутствие председателя Координационного совета е</w:t>
      </w:r>
      <w:r>
        <w:rPr>
          <w:rFonts w:ascii="Times New Roman" w:hAnsi="Times New Roman"/>
          <w:sz w:val="28"/>
          <w:szCs w:val="28"/>
        </w:rPr>
        <w:t xml:space="preserve">го обязанности выполняет заместитель председателя Координационного совета. Секретарь Координационного совета: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участвует лично в заседаниях Координационного совета;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уведомляет членов Координационного совета о месте, дате, времени проведения заседани</w:t>
      </w:r>
      <w:r>
        <w:rPr>
          <w:rFonts w:ascii="Times New Roman" w:hAnsi="Times New Roman"/>
          <w:sz w:val="28"/>
          <w:szCs w:val="28"/>
        </w:rPr>
        <w:t xml:space="preserve">я не менее чем за пять календарных дней до дня проведения заседания, рассылает повестку дня и материалы к заседанию;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осуществляет подготовку протоколов заседаний и других документов Координационного совета.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Координационного совета: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участвуют</w:t>
      </w:r>
      <w:r>
        <w:rPr>
          <w:rFonts w:ascii="Times New Roman" w:hAnsi="Times New Roman"/>
          <w:sz w:val="28"/>
          <w:szCs w:val="28"/>
        </w:rPr>
        <w:t xml:space="preserve"> лично в заседаниях Координационного совета;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выносят на обсуждение предложения по вопросам, находящимся в компетенции Координационного совета;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осуществляют иные мероприятия по подготовке, исполнению решений Координационного совета.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Заседания и </w:t>
      </w:r>
      <w:r>
        <w:rPr>
          <w:rFonts w:ascii="Times New Roman" w:hAnsi="Times New Roman"/>
          <w:b/>
          <w:sz w:val="28"/>
          <w:szCs w:val="28"/>
        </w:rPr>
        <w:t>решения Координационного совета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Координационного совета проводятся в очном формате по мере необходимости, но не реже одного раза в квартал.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Координационного совета является правомочным, если в нем принимают участие не менее двух третьих</w:t>
      </w:r>
      <w:r>
        <w:rPr>
          <w:rFonts w:ascii="Times New Roman" w:hAnsi="Times New Roman"/>
          <w:sz w:val="28"/>
          <w:szCs w:val="28"/>
        </w:rPr>
        <w:t xml:space="preserve"> его членов.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Координационного совета принимаются простым большинством голосов участвующих в заседании членов Координационного совета и оформляются протоколами заседаний, которые подписываются секретарем Координационного совета и утверждаются предсе</w:t>
      </w:r>
      <w:r>
        <w:rPr>
          <w:rFonts w:ascii="Times New Roman" w:hAnsi="Times New Roman"/>
          <w:sz w:val="28"/>
          <w:szCs w:val="28"/>
        </w:rPr>
        <w:t>дательствующим на заседании Координационного совета.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равенства голосов голос председательствующего на заседании Координационного совета является решающим.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Координационного совета может быть принято посредством заочного голосования путем пр</w:t>
      </w:r>
      <w:r>
        <w:rPr>
          <w:rFonts w:ascii="Times New Roman" w:hAnsi="Times New Roman"/>
          <w:sz w:val="28"/>
          <w:szCs w:val="28"/>
        </w:rPr>
        <w:t>оведения письменного опроса членов Координационного совета.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о проведении заочного голосования с приложением материалов по вопросу, вынесенному на голосование, не позднее чем за 10 календарных дней до даты подведения итогов заочного голосования на</w:t>
      </w:r>
      <w:r>
        <w:rPr>
          <w:rFonts w:ascii="Times New Roman" w:hAnsi="Times New Roman"/>
          <w:sz w:val="28"/>
          <w:szCs w:val="28"/>
        </w:rPr>
        <w:t>правляется секретарем Координационного совета членам Координационного совета любым способом, обеспечивающим его получение (в том числе посредством почтовой, факсимильной связи и по электронной почте). В сообщении указывается дата истечения срока представле</w:t>
      </w:r>
      <w:r>
        <w:rPr>
          <w:rFonts w:ascii="Times New Roman" w:hAnsi="Times New Roman"/>
          <w:sz w:val="28"/>
          <w:szCs w:val="28"/>
        </w:rPr>
        <w:t xml:space="preserve">ния членом Координационного совета своего мнения по рассматриваемому вопросу в письменной форме. </w:t>
      </w:r>
    </w:p>
    <w:p w:rsidR="00000000" w:rsidRDefault="00054B5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Координационного совета в течение 10 календарных дней до даты подведения итогов заочного голосования представляют секретарю Координационного совета в пи</w:t>
      </w:r>
      <w:r>
        <w:rPr>
          <w:rFonts w:ascii="Times New Roman" w:hAnsi="Times New Roman"/>
          <w:sz w:val="28"/>
          <w:szCs w:val="28"/>
        </w:rPr>
        <w:t>сьменной форме свое мнение по вопросам голосования.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поступивших в письменной форме мнений членов Координационного совета и подведение итогов заочного голосования осуществляются секретарем Координационного совета.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Координационного совета с</w:t>
      </w:r>
      <w:r>
        <w:rPr>
          <w:rFonts w:ascii="Times New Roman" w:hAnsi="Times New Roman"/>
          <w:sz w:val="28"/>
          <w:szCs w:val="28"/>
        </w:rPr>
        <w:t>читается принятым, если не менее половины членов Координационного совета представили в установленный срок свое мнение в письменной форме.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принимается большинством голосов от общего числа членов Координационного совета, представивших мнение в письме</w:t>
      </w:r>
      <w:r>
        <w:rPr>
          <w:rFonts w:ascii="Times New Roman" w:hAnsi="Times New Roman"/>
          <w:sz w:val="28"/>
          <w:szCs w:val="28"/>
        </w:rPr>
        <w:t xml:space="preserve">нной форме. При равенстве голосов голос председателя Координационного совета является решающим. 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заочного голосования составляется протокол с приложением письменных мнений членов Координационного совета, который подписывается секретарем Координац</w:t>
      </w:r>
      <w:r>
        <w:rPr>
          <w:rFonts w:ascii="Times New Roman" w:hAnsi="Times New Roman"/>
          <w:sz w:val="28"/>
          <w:szCs w:val="28"/>
        </w:rPr>
        <w:t xml:space="preserve">ионного совета и утверждается председателем Координационного совета. 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решений Координационного совета могут разрабатываться проекты нормативных правовых актов.</w:t>
      </w: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tabs>
          <w:tab w:val="left" w:pos="115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000" w:rsidRDefault="00054B51">
      <w:pPr>
        <w:spacing w:after="0" w:line="240" w:lineRule="auto"/>
        <w:ind w:right="-1"/>
        <w:contextualSpacing/>
        <w:rPr>
          <w:rFonts w:ascii="Times New Roman" w:hAnsi="Times New Roman"/>
          <w:color w:val="000000"/>
          <w:sz w:val="27"/>
          <w:szCs w:val="27"/>
        </w:rPr>
      </w:pP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 муниципаль</w:t>
      </w:r>
      <w:r>
        <w:rPr>
          <w:rFonts w:ascii="Times New Roman" w:hAnsi="Times New Roman"/>
          <w:color w:val="000000"/>
          <w:sz w:val="28"/>
          <w:szCs w:val="28"/>
        </w:rPr>
        <w:t xml:space="preserve">ного образования Кореновский район </w:t>
      </w:r>
    </w:p>
    <w:p w:rsidR="00000000" w:rsidRDefault="00054B5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от12.02.2025 №211</w:t>
      </w:r>
    </w:p>
    <w:p w:rsidR="00000000" w:rsidRDefault="00054B51">
      <w:pPr>
        <w:spacing w:after="0" w:line="240" w:lineRule="auto"/>
        <w:ind w:left="-567"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000000" w:rsidRDefault="00054B51">
      <w:pPr>
        <w:tabs>
          <w:tab w:val="left" w:pos="3261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1"/>
        <w:gridCol w:w="293"/>
        <w:gridCol w:w="6202"/>
      </w:tblGrid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Координационн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совета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Голобородько Сергей Анатольевич, глава муниципального образования Кореновский район;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Координационного совета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Ковалева Татьяна Григорьевна, 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ретарь 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Координационного совета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Тимофеева Анна Анатольевна, специалист по организации работы «Движение Первых» в муниципальном образовании Кореновский район;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5" w:type="dxa"/>
            <w:gridSpan w:val="2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9746" w:type="dxa"/>
            <w:gridSpan w:val="3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Совета:</w:t>
            </w:r>
          </w:p>
        </w:tc>
      </w:tr>
      <w:tr w:rsidR="00000000">
        <w:trPr>
          <w:trHeight w:val="196"/>
        </w:trPr>
        <w:tc>
          <w:tcPr>
            <w:tcW w:w="9746" w:type="dxa"/>
            <w:gridSpan w:val="3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Батог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образования администрации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Кореновский район;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Мартыненко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Дарья Викторовна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начальника отдела культуры муниципального образования Кореновский район;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Мелентьева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Наталья Вадимовна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координатор советников дирек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торов по воспитанию;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Мищенко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МАНУ ДО ДХТД муниципального образования Кореновский район (по согласованию);</w:t>
            </w: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00000">
        <w:tc>
          <w:tcPr>
            <w:tcW w:w="3251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Толокнов </w:t>
            </w:r>
          </w:p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293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00000" w:rsidRDefault="00054B51">
            <w:pPr>
              <w:spacing w:after="0" w:line="240" w:lineRule="auto"/>
              <w:ind w:right="-1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ОМВД России по Кореновскому району (по согласованию);</w:t>
            </w:r>
          </w:p>
        </w:tc>
      </w:tr>
    </w:tbl>
    <w:p w:rsidR="00000000" w:rsidRDefault="00054B51">
      <w:pPr>
        <w:spacing w:after="0" w:line="240" w:lineRule="auto"/>
        <w:ind w:right="-1"/>
        <w:contextualSpacing/>
        <w:jc w:val="both"/>
      </w:pPr>
    </w:p>
    <w:sectPr w:rsidR="00000000">
      <w:headerReference w:type="default" r:id="rId8"/>
      <w:headerReference w:type="first" r:id="rId9"/>
      <w:pgSz w:w="11906" w:h="16838"/>
      <w:pgMar w:top="765" w:right="567" w:bottom="1134" w:left="1701" w:header="709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4B51">
      <w:pPr>
        <w:spacing w:after="0" w:line="240" w:lineRule="auto"/>
      </w:pPr>
      <w:r>
        <w:separator/>
      </w:r>
    </w:p>
  </w:endnote>
  <w:endnote w:type="continuationSeparator" w:id="0">
    <w:p w:rsidR="00000000" w:rsidRDefault="0005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4B51">
      <w:pPr>
        <w:spacing w:after="0" w:line="240" w:lineRule="auto"/>
      </w:pPr>
      <w:r>
        <w:separator/>
      </w:r>
    </w:p>
  </w:footnote>
  <w:footnote w:type="continuationSeparator" w:id="0">
    <w:p w:rsidR="00000000" w:rsidRDefault="0005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B51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54B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B51"/>
    <w:rsid w:val="000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69884F-1975-4C74-A6FC-8EFB11A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color w:val="000000"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1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e">
    <w:name w:val="footer"/>
    <w:basedOn w:val="a"/>
    <w:pPr>
      <w:spacing w:after="0" w:line="240" w:lineRule="auto"/>
    </w:pPr>
    <w:rPr>
      <w:szCs w:val="20"/>
      <w:lang w:val="x-none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1756</Words>
  <Characters>10010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2025-02-15T06:02:00Z</cp:lastPrinted>
  <dcterms:created xsi:type="dcterms:W3CDTF">2025-02-28T12:44:00Z</dcterms:created>
  <dcterms:modified xsi:type="dcterms:W3CDTF">2025-02-28T12:44:00Z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