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57092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f" cropbottom="-5f" cropleft="-6f" cropright="-6f"/>
          </v:shape>
        </w:pict>
      </w:r>
    </w:p>
    <w:p w:rsidR="00000000" w:rsidRDefault="00557092">
      <w:pPr>
        <w:jc w:val="center"/>
        <w:rPr>
          <w:lang/>
        </w:rPr>
      </w:pPr>
    </w:p>
    <w:p w:rsidR="00000000" w:rsidRDefault="00557092">
      <w:pPr>
        <w:pStyle w:val="2"/>
        <w:numPr>
          <w:ilvl w:val="1"/>
          <w:numId w:val="3"/>
        </w:numPr>
        <w:tabs>
          <w:tab w:val="left" w:pos="0"/>
        </w:tabs>
        <w:jc w:val="center"/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/>
        </w:rPr>
        <w:t>АДМИНИСТРАЦИЯ  МУНИЦИПАЛЬНОГО  ОБРАЗОВАНИЯ</w:t>
      </w:r>
    </w:p>
    <w:p w:rsidR="00000000" w:rsidRDefault="00557092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/>
        </w:rPr>
        <w:t>КОРЕНОВСКИЙ  РАЙОН</w:t>
      </w:r>
    </w:p>
    <w:p w:rsidR="00000000" w:rsidRDefault="00557092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/>
        </w:rPr>
        <w:t>ПОСТАНОВЛЕНИЕ</w:t>
      </w:r>
    </w:p>
    <w:p w:rsidR="00000000" w:rsidRDefault="00557092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07.03.2025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№  304</w:t>
      </w:r>
    </w:p>
    <w:p w:rsidR="00000000" w:rsidRDefault="00557092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55709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lang/>
        </w:rPr>
        <w:t xml:space="preserve">  </w:t>
      </w:r>
    </w:p>
    <w:p w:rsidR="00000000" w:rsidRDefault="0055709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азования Кореновский район от 1 октября 2021 года № 1242</w:t>
      </w:r>
    </w:p>
    <w:p w:rsidR="00000000" w:rsidRDefault="0055709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557092">
      <w:pPr>
        <w:jc w:val="center"/>
      </w:pPr>
    </w:p>
    <w:p w:rsidR="00000000" w:rsidRDefault="00557092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постановлением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образования Кореновский район, п о с т а н о в л я е т:</w:t>
      </w:r>
    </w:p>
    <w:p w:rsidR="00000000" w:rsidRDefault="0055709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55709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19.02.2024 года № 238     «О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Развитие культуры на 2022-2026 годы».</w:t>
      </w:r>
    </w:p>
    <w:p w:rsidR="00000000" w:rsidRDefault="0055709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правлен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уникационной сети «Интернет».</w:t>
      </w:r>
    </w:p>
    <w:p w:rsidR="00000000" w:rsidRDefault="0055709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57092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57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57092">
      <w:pPr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583" w:left="1701" w:header="97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С.А. Голобородько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35"/>
        <w:gridCol w:w="4219"/>
      </w:tblGrid>
      <w:tr w:rsidR="00000000">
        <w:tc>
          <w:tcPr>
            <w:tcW w:w="5511" w:type="dxa"/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</w:pPr>
          </w:p>
          <w:p w:rsidR="00000000" w:rsidRDefault="00557092">
            <w:pPr>
              <w:shd w:val="clear" w:color="auto" w:fill="FFFFFF"/>
              <w:snapToGrid w:val="0"/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7" w:type="dxa"/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ЖЕНИЕ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 07.03.2025 №  304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557092">
      <w:pPr>
        <w:widowControl/>
        <w:shd w:val="clear" w:color="auto" w:fill="FFFFFF"/>
        <w:jc w:val="both"/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2"/>
        <w:gridCol w:w="6"/>
        <w:gridCol w:w="7191"/>
      </w:tblGrid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иципальное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селенческая центральная районная библиотека»;</w:t>
            </w:r>
          </w:p>
          <w:p w:rsidR="00000000" w:rsidRDefault="00557092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557092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новский район;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разования Кореновский район «Кореновская межпоселенческая центральная районная библиотека»;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традиционной народной культуры, ремесленной деятельности, проведение общественно - значимых культурно - массовых меропр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иятий в муниципальном образовании Кореновский район»;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Цели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еновский район;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приобщение жителей 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муниципального образования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допо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лнительного образования детей, укрепление материально - технической базы школ искусств;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развития творческих способностей, социализации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едоставляемых муниципальными библиотеками;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 баз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библиотек;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ремесленной дея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тельности, пропаганда лучших образцов народной культуры Кореновского района;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иатив одаренных детей школ искусств и участников детских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отечественной и мир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овой культуры;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рост контингента обучающихся детских школ искусств;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-количество присужденных обучающимся детских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искусств стипендий, грантов различного уровня;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гах муниципальных библиотек (по сравнению с предыдущим годом);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щим годом);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ьного образования Кореновский район Кореновский район;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557092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 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 отдыха;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643 849,7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сле: из средств бюджета муниципального образования Кореновский район: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 w:bidi="ar-SA"/>
              </w:rPr>
              <w:t xml:space="preserve">611 723,3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110 448,8 тысяч рублей,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118 492,4 тысяч рублей,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141 984,0 тысяч рублей,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155 775,7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,4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22 297,7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рублей, в том числе на: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17 598,0 тыс. рублей;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2623,2 тыс. рублей;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284,6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9 828,7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рублей, в том числе на: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— 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— 5 049,0 тыс. рублей;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— 3 898,8 тыс. рублей;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265,4 тысяч рублей,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272,5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</w:tc>
      </w:tr>
      <w:tr w:rsidR="00000000">
        <w:trPr>
          <w:jc w:val="center"/>
        </w:trPr>
        <w:tc>
          <w:tcPr>
            <w:tcW w:w="26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нием муниципальной программы</w:t>
            </w:r>
          </w:p>
        </w:tc>
        <w:tc>
          <w:tcPr>
            <w:tcW w:w="7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557092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557092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функционируют 55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участников 9217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творческими мероприя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типа работают 185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55709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Процессы информатизации современной жизни настоятельно требуют от учреждений культуры района внедрения информационных технологий с целью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более оперативного и качественного удовлетворения запросов посетителей.</w:t>
      </w:r>
    </w:p>
    <w:p w:rsidR="00000000" w:rsidRDefault="00557092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 бумажных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носителей информации, новых коммуникационных каналов, электронных каталогов и других.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557092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557092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для маломо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бильных граждан.</w:t>
      </w:r>
    </w:p>
    <w:p w:rsidR="00000000" w:rsidRDefault="00557092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 район.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 отрасли «культура» муниципального образования Кореновский район;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рограммам в сфере культуры;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 всех категорий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557092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учреждений дополнительного образования и учреждений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Кореновский район.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повышения качества услуг, предоставляемых учреждениями культуры, дополнительного образования, укрепление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стия в фестивалях и конкурсах различного уровня;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и качественное удовлетворение информационных потребностей пользователей муниципальных библиотек;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я большего количества пользователей библиотек;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ультуры, ремесленной деятельности, пропаганда лучших образцов народной культуры Кореновского района;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ценностям, обеспечение преемственности культурных традиций;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557092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55709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 рамках муниципальной программы предусмотрены основные мероприятия,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район, осуществляемые отделом культуры администрации муниципального образования Кореновский район,  в рамках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муниципального образования Кореновский район от 13 декабря 2010 года № 90.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социально - экономическог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развития Краснодарского края до 2020 года (изменения от 05.06.2013 г.)</w:t>
      </w:r>
    </w:p>
    <w:p w:rsidR="00000000" w:rsidRDefault="00557092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муниципальном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Кореновский район»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личности обучающихся, поддержку одаренных учащихся школ искусств);  </w:t>
      </w:r>
    </w:p>
    <w:p w:rsidR="00000000" w:rsidRDefault="00557092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(направлена на улучше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(направлена на повышение качества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доступности муниципальных услуг сферы культуры для всех категорий потребителей, обеспечение развития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557092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 учреждений 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асли «культура» муниципального образования Кореновский район)</w:t>
      </w:r>
    </w:p>
    <w:p w:rsidR="00000000" w:rsidRDefault="0055709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услуг в сфере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льтуры.</w:t>
      </w:r>
    </w:p>
    <w:p w:rsidR="00000000" w:rsidRDefault="0055709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образования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оспитания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сохранение наро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район», «Отдельные мероприятия по реализации Программы».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Обоснование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ресурсного обеспечения муниципальной 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3"/>
        <w:gridCol w:w="1225"/>
        <w:gridCol w:w="1448"/>
        <w:gridCol w:w="909"/>
        <w:gridCol w:w="1132"/>
        <w:gridCol w:w="988"/>
        <w:gridCol w:w="872"/>
        <w:gridCol w:w="931"/>
      </w:tblGrid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28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3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9197848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643 849.7</w:t>
            </w:r>
            <w:bookmarkEnd w:id="5"/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22 297.7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ф.б.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9 828.7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6" w:name="_Hlk19197850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611 723.3</w:t>
            </w:r>
            <w:bookmarkEnd w:id="6"/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1 496,8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17 598,0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284.6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295.1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5 049,0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265.4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</w:pPr>
            <w:r>
              <w:rPr>
                <w:b/>
                <w:bCs/>
                <w:sz w:val="20"/>
                <w:szCs w:val="20"/>
              </w:rPr>
              <w:t>272.5</w:t>
            </w:r>
          </w:p>
        </w:tc>
      </w:tr>
      <w:tr w:rsidR="00000000">
        <w:trPr>
          <w:trHeight w:val="756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110 448,8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141 984,0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155 775,7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85 022,4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эстетического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вания и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200 576,2</w:t>
            </w: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188 080,5 </w:t>
            </w: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209,8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634,4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2 568,9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1 481,8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102 583,7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</w:tr>
      <w:tr w:rsidR="00000000">
        <w:trPr>
          <w:trHeight w:val="706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265,4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272,5</w:t>
            </w:r>
          </w:p>
        </w:tc>
      </w:tr>
      <w:tr w:rsidR="00000000">
        <w:trPr>
          <w:trHeight w:val="703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24 224,1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26 605,3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15 317,0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327 437,8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uppressAutoHyphens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15 580,0</w:t>
            </w:r>
          </w:p>
          <w:p w:rsidR="00000000" w:rsidRDefault="00557092">
            <w:pPr>
              <w:suppressAutoHyphens w:val="0"/>
              <w:ind w:left="-57" w:right="-57"/>
              <w:jc w:val="center"/>
            </w:pPr>
          </w:p>
          <w:p w:rsidR="00000000" w:rsidRDefault="00557092">
            <w:pPr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311 857,8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78 411,8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75 332,5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ммы»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01,3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201,3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trHeight w:val="270"/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55709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софинансирования из краевого бюджета выделяется 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 изменениями от 15.03.2021 г. № 125)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соисполнителей и участников муниципальной программы, необходимые для проведения мониторинга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программы, устанавливает сроки их предоставления;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оприятий. 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межпоселенческая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Кореновский район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формацию об исполнении мероприятий муниципальной программы в следующие сроки: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7" w:right="567" w:bottom="567" w:left="1701" w:header="720" w:footer="720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Д.В. Мартыненко</w:t>
      </w: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5pt;margin-top:-46.5pt;width:33.5pt;height:18.45pt;z-index:251656192;mso-wrap-style:none;mso-position-horizontal:absolute;mso-position-horizontal-relative:text;mso-position-vertical:absolute;mso-position-vertical-relative:text;v-text-anchor:middle" o:allowincell="f" strokecolor="white" strokeweight=".35mm">
            <v:fill color2="black"/>
            <v:stroke color2="black"/>
          </v:shape>
        </w:pict>
      </w:r>
      <w:r>
        <w:pict>
          <v:shape id="_x0000_s1027" type="#_x0000_t202" style="position:absolute;left:0;text-align:left;margin-left:378.5pt;margin-top:38.55pt;width:33.45pt;height:18.4pt;z-index:251657216;mso-wrap-distance-left:.5pt;mso-wrap-distance-top:5.7pt;mso-wrap-distance-right:.5pt;mso-wrap-distance-bottom:5.7pt;mso-position-horizontal:absolute;mso-position-horizontal-relative:text;mso-position-vertical:absolute;mso-position-vertical-relative:page" o:allowincell="f" stroked="f">
            <v:fill opacity="0" color2="black"/>
            <v:textbox inset="7.25pt,3.65pt,7.25pt,3.65pt">
              <w:txbxContent>
                <w:p w:rsidR="00000000" w:rsidRDefault="00557092">
                  <w:pPr>
                    <w:pStyle w:val="af6"/>
                    <w:jc w:val="center"/>
                  </w:pPr>
                  <w:r>
                    <w:rPr>
                      <w:color w:val="000000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tyjcwt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ультуры на 2022-2026 годы»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2"/>
        <w:gridCol w:w="993"/>
        <w:gridCol w:w="849"/>
        <w:gridCol w:w="1134"/>
        <w:gridCol w:w="1136"/>
        <w:gridCol w:w="1133"/>
        <w:gridCol w:w="1136"/>
        <w:gridCol w:w="1086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воспитания детей в м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униципальном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ников учреждений культуры МО Кореновский район;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557092">
      <w:pPr>
        <w:widowControl/>
        <w:shd w:val="clear" w:color="auto" w:fill="FFFFFF"/>
      </w:pPr>
    </w:p>
    <w:p w:rsidR="00000000" w:rsidRDefault="00557092">
      <w:pPr>
        <w:widowControl/>
        <w:shd w:val="clear" w:color="auto" w:fill="FFFFFF"/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Д.В. Мартыненко</w:t>
      </w:r>
    </w:p>
    <w:p w:rsidR="00000000" w:rsidRDefault="00557092">
      <w:pPr>
        <w:tabs>
          <w:tab w:val="left" w:pos="4873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tabs>
          <w:tab w:val="left" w:pos="487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0000" w:rsidRDefault="005570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57092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701" w:right="776" w:bottom="567" w:left="567" w:header="720" w:footer="720" w:gutter="0"/>
          <w:cols w:space="720"/>
          <w:titlePg/>
          <w:docGrid w:linePitch="326"/>
        </w:sectPr>
      </w:pPr>
    </w:p>
    <w:p w:rsidR="00000000" w:rsidRDefault="00557092">
      <w:pPr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028" type="#_x0000_t202" style="position:absolute;margin-left:211pt;margin-top:-16.8pt;width:33.5pt;height:18.45pt;z-index:251658240;mso-wrap-style:none;mso-position-horizontal:absolute;mso-position-horizontal-relative:text;mso-position-vertical:absolute;mso-position-vertical-relative:text;v-text-anchor:middle" o:allowincell="f" strokecolor="white" strokeweight=".35mm">
            <v:fill color2="black"/>
            <v:stroke color2="black"/>
          </v:shape>
        </w:pict>
      </w:r>
      <w:r>
        <w:pict>
          <v:shape id="_x0000_s1029" type="#_x0000_t202" style="position:absolute;margin-left:211pt;margin-top:33pt;width:33.45pt;height:18.4pt;z-index:251659264;mso-wrap-distance-left:.5pt;mso-wrap-distance-top:5.7pt;mso-wrap-distance-right:.5pt;mso-wrap-distance-bottom:5.7pt;mso-position-horizontal:absolute;mso-position-horizontal-relative:text;mso-position-vertical:absolute;mso-position-vertical-relative:page" o:allowincell="f" stroked="f">
            <v:fill opacity="0" color2="black"/>
            <v:textbox inset="7.25pt,3.65pt,7.25pt,3.65pt">
              <w:txbxContent>
                <w:p w:rsidR="00000000" w:rsidRDefault="00557092">
                  <w:pPr>
                    <w:pStyle w:val="af6"/>
                    <w:jc w:val="center"/>
                  </w:pPr>
                  <w:r>
                    <w:rPr>
                      <w:color w:val="000000"/>
                    </w:rPr>
                    <w:t>17</w:t>
                  </w:r>
                </w:p>
              </w:txbxContent>
            </v:textbox>
          </v:shape>
        </w:pic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88"/>
        <w:gridCol w:w="3850"/>
      </w:tblGrid>
      <w:tr w:rsidR="00000000">
        <w:tc>
          <w:tcPr>
            <w:tcW w:w="5788" w:type="dxa"/>
            <w:shd w:val="clear" w:color="auto" w:fill="auto"/>
          </w:tcPr>
          <w:p w:rsidR="00000000" w:rsidRDefault="0055709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0" w:type="dxa"/>
            <w:shd w:val="clear" w:color="auto" w:fill="auto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8" w:name="3dy6vkm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55709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2400"/>
        <w:gridCol w:w="5090"/>
        <w:gridCol w:w="9"/>
        <w:gridCol w:w="14"/>
      </w:tblGrid>
      <w:tr w:rsidR="00000000">
        <w:tc>
          <w:tcPr>
            <w:tcW w:w="9615" w:type="dxa"/>
            <w:gridSpan w:val="3"/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5709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5709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эстетического образования и воспитания детей </w:t>
            </w:r>
          </w:p>
          <w:p w:rsidR="00000000" w:rsidRDefault="0055709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557092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557092">
            <w:pPr>
              <w:snapToGrid w:val="0"/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gridAfter w:val="1"/>
          <w:wAfter w:w="14" w:type="dxa"/>
        </w:trPr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ации муниципального образования Кореновский район</w:t>
            </w:r>
          </w:p>
        </w:tc>
      </w:tr>
      <w:tr w:rsidR="00000000">
        <w:trPr>
          <w:gridAfter w:val="1"/>
          <w:wAfter w:w="14" w:type="dxa"/>
        </w:trPr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4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rPr>
          <w:gridAfter w:val="1"/>
          <w:wAfter w:w="14" w:type="dxa"/>
        </w:trPr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4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воспитания и худож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традиций 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ссии и Кубани;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trHeight w:val="113"/>
        </w:trPr>
        <w:tc>
          <w:tcPr>
            <w:tcW w:w="9615" w:type="dxa"/>
            <w:gridSpan w:val="3"/>
            <w:shd w:val="clear" w:color="auto" w:fill="FFFFFF"/>
          </w:tcPr>
          <w:p w:rsidR="00000000" w:rsidRDefault="00557092">
            <w:pPr>
              <w:snapToGrid w:val="0"/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gridAfter w:val="1"/>
          <w:wAfter w:w="14" w:type="dxa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 и профе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ссиональной подготовки;</w:t>
            </w: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обучающимся детских школ искусств стипендий, грантов различного уровня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rPr>
          <w:gridAfter w:val="1"/>
          <w:wAfter w:w="14" w:type="dxa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rPr>
          <w:gridAfter w:val="1"/>
          <w:wAfter w:w="14" w:type="dxa"/>
          <w:trHeight w:val="620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ъемы бюджетных ассигнований подпрограммы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557092">
            <w:pPr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200 576.2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за счет средств бюджета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188 080,5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32 694,2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35 734,3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37 818,3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30 361,1 тысяч рублей.</w:t>
            </w:r>
          </w:p>
          <w:p w:rsidR="00000000" w:rsidRDefault="00557092">
            <w:pPr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557092">
            <w:pPr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4 148,8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1 802,9 тысяч рублей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— 517,8 тысяч рублей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— 218.2 тысяч рублей 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8 346,9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— 0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— 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712,0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3 634,9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rPr>
          <w:gridAfter w:val="1"/>
          <w:wAfter w:w="14" w:type="dxa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57092">
      <w:pPr>
        <w:widowControl/>
        <w:shd w:val="clear" w:color="auto" w:fill="FFFFFF"/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9" w:name="1t3h5sf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вития соответствующей сферы реализации подпрограммы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Подпрограмма «Развитие художественно - эстетического образования и воспитания детей в муниципальном образовании Кореновский район» разработана во исполнение Федерального Закона от 29 декабря 2012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273 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человек, из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показателя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,2 %).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обучающих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«Планета 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усств», «Верь в свою звезду» и др.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потенциал школ искусств требует серьезн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организационной и финансовой поддержки.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ореновский район.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0" w:name="4d34og8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образования посредством поддержки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азвития учреждений, осуществляющих деятельность по образовательным программам в сфере культуры;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предоставляемых 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чреждениями дополнительного образования детей, укрепление материально- технической базы школ искусств;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изации Подпрограммы: 2022-2026 годы.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мероприятий муниципальной программы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образовании Кореновский район».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41"/>
        <w:gridCol w:w="1242"/>
        <w:gridCol w:w="1351"/>
        <w:gridCol w:w="1002"/>
        <w:gridCol w:w="1000"/>
        <w:gridCol w:w="1001"/>
        <w:gridCol w:w="999"/>
        <w:gridCol w:w="1002"/>
      </w:tblGrid>
      <w:tr w:rsidR="00000000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355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00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200 576,2</w:t>
            </w: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4 148,8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8 346,9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188 080,5</w:t>
            </w: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1 802,9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517,8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209,8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</w:t>
            </w:r>
            <w:r>
              <w:rPr>
                <w:rFonts w:ascii="Times New Roman" w:eastAsia="Times New Roman" w:hAnsi="Times New Roman" w:cs="Times New Roman"/>
              </w:rPr>
              <w:t>ераль-ный бюджет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4 712,0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3 634,9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</w:t>
            </w:r>
          </w:p>
          <w:p w:rsidR="00000000" w:rsidRDefault="0055709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ный бюджет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32 694,2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35 734,3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37 818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Вне-</w:t>
            </w:r>
          </w:p>
          <w:p w:rsidR="00000000" w:rsidRDefault="0055709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бюджетные источники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00000" w:rsidRDefault="0055709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55709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тодика оценки эффективности реализации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55709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программы, утвержденным постановлением 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инистрации муниципального образования Кореновский район № 1921 от 2 ноября 2023 года.</w:t>
      </w:r>
    </w:p>
    <w:p w:rsidR="00000000" w:rsidRDefault="0055709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сполнителя муниципальной программы о ходе ее реализации и об оценке эффективности. 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 культуры администрации муниципального образования Кореновский район, который: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 и перечень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 в муниципальную программу;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 и оценке эффективности её реализации (далее — доклад о ходе реализации муниципальной программы);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мации, на официальном сайте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яет иные полномочия, установленные  муниципальной программой.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муниципального образования Кореновский район информацию об исполнении меропр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иятий подпрограммы в следующие сроки: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777" w:right="567" w:bottom="567" w:left="1701" w:header="720" w:footer="720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                                                Д.В. Мартыненко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557092">
      <w:pPr>
        <w:widowControl/>
        <w:shd w:val="clear" w:color="auto" w:fill="FFFFFF"/>
        <w:jc w:val="center"/>
      </w:pPr>
    </w:p>
    <w:p w:rsidR="00000000" w:rsidRDefault="00557092">
      <w:pPr>
        <w:widowControl/>
        <w:shd w:val="clear" w:color="auto" w:fill="FFFFFF"/>
        <w:jc w:val="center"/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образовании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новский район»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0"/>
        <w:gridCol w:w="7616"/>
        <w:gridCol w:w="1116"/>
        <w:gridCol w:w="835"/>
        <w:gridCol w:w="882"/>
        <w:gridCol w:w="881"/>
        <w:gridCol w:w="877"/>
        <w:gridCol w:w="882"/>
        <w:gridCol w:w="891"/>
      </w:tblGrid>
      <w:tr w:rsidR="00000000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Удельный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71" w:type="dxa"/>
        <w:tblLayout w:type="fixed"/>
        <w:tblLook w:val="0000" w:firstRow="0" w:lastRow="0" w:firstColumn="0" w:lastColumn="0" w:noHBand="0" w:noVBand="0"/>
      </w:tblPr>
      <w:tblGrid>
        <w:gridCol w:w="11518"/>
        <w:gridCol w:w="2939"/>
      </w:tblGrid>
      <w:tr w:rsidR="00000000">
        <w:trPr>
          <w:trHeight w:val="394"/>
        </w:trPr>
        <w:tc>
          <w:tcPr>
            <w:tcW w:w="11518" w:type="dxa"/>
            <w:shd w:val="clear" w:color="auto" w:fill="FFFFFF"/>
          </w:tcPr>
          <w:p w:rsidR="00000000" w:rsidRDefault="00557092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 в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5570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1"/>
        <w:gridCol w:w="1277"/>
        <w:gridCol w:w="1281"/>
        <w:gridCol w:w="24"/>
        <w:gridCol w:w="1025"/>
        <w:gridCol w:w="84"/>
        <w:gridCol w:w="26"/>
        <w:gridCol w:w="939"/>
        <w:gridCol w:w="28"/>
        <w:gridCol w:w="24"/>
        <w:gridCol w:w="996"/>
        <w:gridCol w:w="114"/>
        <w:gridCol w:w="25"/>
        <w:gridCol w:w="912"/>
        <w:gridCol w:w="56"/>
        <w:gridCol w:w="24"/>
        <w:gridCol w:w="978"/>
        <w:gridCol w:w="994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5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доступа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1 323,9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Местный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оприятных условий для эстетического воспитания и художественного образования,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сийской Федерации, дважды Героя труда Кубани, композитора, г. Кореновска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Создание благоприятных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для эстетического воспитания и художественного образования,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Иные межбюджетные трансферты на дополнительную помощь местным бюджетам для решения социально-значимых вопросов местного значения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стетического воспитания и художественного образования,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Кореновский район муниципальные бюджетные учреждения дополнительного образования: детская школа искусств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возможности для сам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Кореновска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го воспитания и художественного образования,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7" w:right="567" w:bottom="426" w:left="1701" w:header="720" w:footer="720" w:gutter="0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Д.В. Мартыненко</w:t>
      </w:r>
    </w:p>
    <w:p w:rsidR="00000000" w:rsidRDefault="0055709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55709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7"/>
        <w:gridCol w:w="42"/>
        <w:gridCol w:w="30"/>
      </w:tblGrid>
      <w:tr w:rsidR="00000000">
        <w:tc>
          <w:tcPr>
            <w:tcW w:w="10107" w:type="dxa"/>
            <w:gridSpan w:val="2"/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учреждения культуры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образования Кореновский район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55709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" w:type="dxa"/>
            <w:shd w:val="clear" w:color="auto" w:fill="auto"/>
          </w:tcPr>
          <w:p w:rsidR="00000000" w:rsidRDefault="0055709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55709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отдел культуры администрации муниципального образования Кореновский район, муниципальное бюджетное учреждение культуры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ем информатизации отрасли, создания электронных баз библиотек;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11" w:name="_26in1rg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 финансирования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106 634,4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числе: 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102 583,7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– 18 324,0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 18 113,3 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24 224,1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26 605,3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- 15 317,0 тысяч рублей.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2 568,9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96,7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795,1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74,8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76,9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1481.8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 на: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343,0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337,0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265.4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— 272.5 тысяч рублей. 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57092">
      <w:pPr>
        <w:widowControl/>
        <w:shd w:val="clear" w:color="auto" w:fill="FFFFFF"/>
        <w:jc w:val="center"/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lnxbz9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альное бюджетное учреждение культуры муниципального образования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 книговыдачей свыше 195 тысяч экземпляров. Ежегодно муниципальными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фонды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 требуют постоянного обновления,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зации. Имеющиеся в библиотеках технические средства и специальное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собно в полной мере удовлетворить актуальные запросы читателей.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ек, которые позволят повысить оперативность и качество информационного обслуживания населения Кореновского района, в том числе по предоставлению муниципальных услуг в электронном виде.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таётся сохранение и пополнение библиотечных фондов книгами и периодическими изданиями.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внедрению автоматизирова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самоуправления, требуют дополнительных усилий и финансовых 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обслуживания населени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требования времени.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3" w:name="35nkun2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ели, задачи и целевые показатели, конкретные сроки и этапы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межпоселенческими библиотеками, комплектование и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иотечных фондов.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оперативное и качественное удовлетворение информационных потребностей пользователей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муниципальных библиотек;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комфортной среды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привлечения большего количества пользователей библиотек;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557092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 целевых показателей приведены в приложении № 1.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57092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_1ksv4uv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8"/>
        <w:gridCol w:w="1323"/>
        <w:gridCol w:w="1398"/>
        <w:gridCol w:w="1012"/>
        <w:gridCol w:w="1143"/>
        <w:gridCol w:w="1013"/>
        <w:gridCol w:w="965"/>
        <w:gridCol w:w="1008"/>
        <w:gridCol w:w="14"/>
        <w:gridCol w:w="9"/>
      </w:tblGrid>
      <w:tr w:rsidR="00000000">
        <w:trPr>
          <w:gridAfter w:val="1"/>
          <w:wAfter w:w="9" w:type="dxa"/>
          <w:trHeight w:val="262"/>
        </w:trPr>
        <w:tc>
          <w:tcPr>
            <w:tcW w:w="20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ования,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trHeight w:val="273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4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trHeight w:val="1414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trHeight w:val="563"/>
        </w:trPr>
        <w:tc>
          <w:tcPr>
            <w:tcW w:w="20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106 634.4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2 568.9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1481.8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102 583,7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Краевой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96,7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1 525,4</w:t>
            </w:r>
          </w:p>
        </w:tc>
        <w:tc>
          <w:tcPr>
            <w:tcW w:w="9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74.8</w:t>
            </w:r>
          </w:p>
        </w:tc>
        <w:tc>
          <w:tcPr>
            <w:tcW w:w="10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76.9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343,0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265,4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272,5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trHeight w:val="1023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>ниципальный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18 324,0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24 224,1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26 605,3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15 317,0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trHeight w:val="1255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</w:tbl>
    <w:p w:rsidR="00000000" w:rsidRDefault="0055709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55709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 № 1921 от 2 ноября 2023 года.</w:t>
      </w:r>
    </w:p>
    <w:p w:rsidR="00000000" w:rsidRDefault="0055709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и об оценке эффективности.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ования Кореновский район, который: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твенность за достижение целевых показателей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едоставляемой соисполнителями и участниками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лее — доклад о ходе реализации муниципальной программы);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программой.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экономики доклад о ходе   реализации муниципальной программы на бумажных и электронных носителях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«Кореновская межпос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еленческая центральная районная библиотека», которая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средств, оценку эффективности и результативности реализации Подпрограммы.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формацию о реализации программных мероприятий в установленные сроки.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Д.В. Мартыненко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 И ЦЕЛЕВЫЕ ПОКАЗАТЕЛИ МУНИЦИПАЛЬНОЙ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образования Кореновский район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5"/>
        <w:gridCol w:w="1159"/>
        <w:gridCol w:w="1156"/>
        <w:gridCol w:w="1158"/>
        <w:gridCol w:w="1131"/>
        <w:gridCol w:w="1212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557092">
      <w:pPr>
        <w:shd w:val="clear" w:color="auto" w:fill="FFFFFF"/>
      </w:pPr>
    </w:p>
    <w:p w:rsidR="00000000" w:rsidRDefault="00557092">
      <w:pPr>
        <w:shd w:val="clear" w:color="auto" w:fill="FFFFFF"/>
      </w:pPr>
    </w:p>
    <w:p w:rsidR="00000000" w:rsidRDefault="00557092">
      <w:pPr>
        <w:shd w:val="clear" w:color="auto" w:fill="FFFFFF"/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2"/>
        <w:gridCol w:w="1830"/>
        <w:gridCol w:w="383"/>
        <w:gridCol w:w="1587"/>
        <w:gridCol w:w="992"/>
        <w:gridCol w:w="1002"/>
        <w:gridCol w:w="956"/>
        <w:gridCol w:w="877"/>
        <w:gridCol w:w="994"/>
        <w:gridCol w:w="991"/>
        <w:gridCol w:w="1134"/>
        <w:gridCol w:w="1699"/>
        <w:gridCol w:w="2066"/>
      </w:tblGrid>
      <w:tr w:rsidR="00000000">
        <w:trPr>
          <w:cantSplit/>
          <w:trHeight w:val="1172"/>
          <w:jc w:val="center"/>
        </w:trPr>
        <w:tc>
          <w:tcPr>
            <w:tcW w:w="5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ный за выполнение мероприятий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межпоселенческими библиотеками,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Кореновский район «Кореновская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101 016,1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ления Кореновского района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101 016,1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44sinio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3155.7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55709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55709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172,3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621,7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417.9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1 481,8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265.4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272.5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личение доступности к культурному продукту путем информатизации отрасли, создания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район, получатель средств —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ное бюджетное учреждение культуры 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ипальное бюджетное учреждение культуры МО</w:t>
            </w:r>
          </w:p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администрации муници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761" w:left="1701" w:header="720" w:footer="720" w:gutter="0"/>
          <w:pgNumType w:start="35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55709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льного образования</w:t>
      </w:r>
    </w:p>
    <w:p w:rsidR="00000000" w:rsidRDefault="0055709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55709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984"/>
        <w:gridCol w:w="30"/>
      </w:tblGrid>
      <w:tr w:rsidR="00000000">
        <w:tc>
          <w:tcPr>
            <w:tcW w:w="10137" w:type="dxa"/>
            <w:gridSpan w:val="2"/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общественно - значимых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урно - массовых мероприятий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муниципального образования Кореновский район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557092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557092">
            <w:pPr>
              <w:snapToGrid w:val="0"/>
            </w:pPr>
          </w:p>
        </w:tc>
      </w:tr>
      <w:tr w:rsidR="00000000">
        <w:trPr>
          <w:trHeight w:val="693"/>
        </w:trPr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образования Кореновский район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«Кореновский районный центр народной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культуры и досуга»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культурных традиций;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Кореновского района в создание и продвижение культурного продукта;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иций;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аемых к участию в творческих мероприятиях, в общем числе детей;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557092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327 437,8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</w:t>
            </w:r>
          </w:p>
          <w:p w:rsidR="00000000" w:rsidRDefault="00557092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- из средств бюджета МО Кореновский район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311 857,8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 рублей, в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 на: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57 653,1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62 799,9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78 411,8 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75 332,5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рублей; 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37 660,5 тысяч рублей.</w:t>
            </w:r>
          </w:p>
          <w:p w:rsidR="00000000" w:rsidRDefault="0055709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55709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 год - 0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2023 год - 15 000,0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557092">
            <w:pPr>
              <w:shd w:val="clear" w:color="auto" w:fill="FFFFFF"/>
              <w:jc w:val="both"/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6" w:name="2jxsxqh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ика текущего состояния и прогноз развития соответствующей сферы реализации Подпрограммы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мероприятий в муниципальном образовании Кореновский район» разработана в соответствии с Указом  Президента Российской Федерации от 7 мая 2012 года № 597 «О мероприятиях по реализации государственной социальной политики», Законом Краснодарского края от 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ноября 2000 года № 325- КЗ «О культуре», Законом Краснодарского края от 28 июня 2007 года № 1264- КЗ «О государственной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 культуры, деятельность которых направлена на решение проблем по сохранению, созданию, распространению культурных ценностей в муниципальном образовании Кореновский район.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реновский район является деятельность культурно – досуговых учреждений, которых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тивалях и других мероприятиях художественно-творческого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ениями проводится свыше 10,5 тысяч различных мероприятий.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в деятельности клубных учреждений с 4,9 % до 5,1 %. По мере ежегодного увеличения объема услуг культуры, потребляемых населением Кореновского района, все большее значение приобретает качество предоставляемых муниципальных услуг.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вский район стал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Кубани, на благо России», «Адрес детства - Кубань»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«Кубанский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краевых фестивалей, смотров, конкурсов. Участие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лективов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убани растет и 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мероприятий, культурного досуга и отдыха жителей муниципального образования Кореновский район, развития местного традиционного художественного творчества с учетом потребностей различных социально-возрастных групп населения района возникают ряд проблем,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№ 597 «О мероприятиях по реализации государственной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оциальной политики».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на эффективное удовлетворение запросов и потребностей различных категорий населения. В Указанный период развитие сферы культуры района будет направлено на  сохранение   культурного наследия, активизацию   народного    творчества, улучшение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подпрограммы является наиболее полное удов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летворение растущих и изменяющихся культурных запросов, и нужд населения Кореновского района.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ция механизмов муниципальной поддержки деятельности культурно - досуговых учреждений, привлечение внимания общественности и средств массовой информации к проблемам культуры;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района, вовлечение населения в процесс создания культурного продукта и 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ания комфортной среды жизнедеятельности населенных пунктов района.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сновные цели подпрограммы-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55709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55709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ремесленной деятельности, пропаганда лучших образцов народной культуры Кореновского района;  </w:t>
      </w:r>
    </w:p>
    <w:p w:rsidR="00000000" w:rsidRDefault="0055709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образования Кореновский район за счет притока квалифицированных кадров.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кой местности</w:t>
      </w:r>
    </w:p>
    <w:p w:rsidR="00000000" w:rsidRDefault="00557092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Плановые значения целевых показателей приведены в приложении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народного творчества, традиционной народной культуры, ремесленной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сти, проведение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4"/>
        <w:gridCol w:w="1236"/>
        <w:gridCol w:w="1924"/>
        <w:gridCol w:w="1034"/>
        <w:gridCol w:w="1035"/>
        <w:gridCol w:w="973"/>
        <w:gridCol w:w="1099"/>
        <w:gridCol w:w="1071"/>
      </w:tblGrid>
      <w:tr w:rsidR="00000000">
        <w:trPr>
          <w:trHeight w:val="233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81D41A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Hlk191544363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327 437,8</w:t>
            </w:r>
            <w:bookmarkEnd w:id="17"/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uppressAutoHyphens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к.б. 15 580,0</w:t>
            </w:r>
          </w:p>
          <w:p w:rsidR="00000000" w:rsidRDefault="00557092">
            <w:pPr>
              <w:suppressAutoHyphens w:val="0"/>
              <w:ind w:left="-57" w:right="-57"/>
              <w:jc w:val="center"/>
            </w:pPr>
          </w:p>
          <w:p w:rsidR="00000000" w:rsidRDefault="00557092">
            <w:pPr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311 857.8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57 653,1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78 411,8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75 332,5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55709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55709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подпрограммы и контроль за ее выполнением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программы, координацию деятельности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соисполнителей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ореновский район, отчет об объемах и источниках финансирования программы в разрезе мероприятий. 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 на бумажных и электронных носителях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ользованных денежных средств и степени выполнения мероприятий;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дпрограммы.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оки.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Д.В. Мартыненко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ального образования Кореновский район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1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5"/>
        <w:gridCol w:w="1277"/>
        <w:gridCol w:w="992"/>
        <w:gridCol w:w="1337"/>
        <w:gridCol w:w="1340"/>
        <w:gridCol w:w="1339"/>
        <w:gridCol w:w="1339"/>
        <w:gridCol w:w="1376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чреждений культурно-досугового типа;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557092">
      <w:pPr>
        <w:shd w:val="clear" w:color="auto" w:fill="FFFFFF"/>
      </w:pPr>
    </w:p>
    <w:p w:rsidR="00000000" w:rsidRDefault="0055709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11339"/>
        <w:gridCol w:w="3290"/>
      </w:tblGrid>
      <w:tr w:rsidR="00000000">
        <w:tc>
          <w:tcPr>
            <w:tcW w:w="11339" w:type="dxa"/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0" w:type="dxa"/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НЬ ОСНОВНЫХ МЕРОПРИЯТИЙ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 муниципального образования Кореновский район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2002"/>
        <w:gridCol w:w="483"/>
        <w:gridCol w:w="1083"/>
        <w:gridCol w:w="1129"/>
        <w:gridCol w:w="187"/>
        <w:gridCol w:w="833"/>
        <w:gridCol w:w="961"/>
        <w:gridCol w:w="844"/>
        <w:gridCol w:w="23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культурных традиций.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8" w:name="_3j2qqm3"/>
            <w:bookmarkStart w:id="19" w:name="_Hlk191981259"/>
            <w:bookmarkEnd w:id="18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льного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276 118,0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65 571,3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иципальных услуг в сфере культуры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276 118,0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65 571,3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дной культуры, ремесленной деятельности, пропаганда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«Во славу Кубани, на благо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России»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713.6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сла коллективов народного творчества и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тивов.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napToGrid w:val="0"/>
              <w:jc w:val="center"/>
            </w:pPr>
          </w:p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napToGrid w:val="0"/>
              <w:jc w:val="center"/>
            </w:pPr>
          </w:p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 образования Кореновский район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0" w:name="_1y810tw"/>
            <w:bookmarkEnd w:id="20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ципальном образовании Кореновский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14 331.1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4 834.0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14 331.1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4 834,0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ьтуры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мещением расходов по оплате жилых помещений по договору найма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29 650,0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2 277,2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14 070,0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2 277,2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ня</w:t>
            </w:r>
          </w:p>
        </w:tc>
      </w:tr>
      <w:tr w:rsidR="00000000">
        <w:trPr>
          <w:trHeight w:val="985"/>
          <w:jc w:val="center"/>
        </w:trPr>
        <w:tc>
          <w:tcPr>
            <w:tcW w:w="5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57092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557092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557092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557092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6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Кореновский район                                                                                                                          Д.В. Мартыненко</w:t>
      </w: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55709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55709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55709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реновский район</w:t>
      </w:r>
    </w:p>
    <w:p w:rsidR="00000000" w:rsidRDefault="0055709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5709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600"/>
        <w:gridCol w:w="38"/>
      </w:tblGrid>
      <w:tr w:rsidR="00000000">
        <w:tc>
          <w:tcPr>
            <w:tcW w:w="9919" w:type="dxa"/>
            <w:gridSpan w:val="2"/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«Отдельные мероприятия по реализации Программы» муниципальной программы муниципального образования Кореновский район 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8" w:type="dxa"/>
            <w:shd w:val="clear" w:color="auto" w:fill="auto"/>
          </w:tcPr>
          <w:p w:rsidR="00000000" w:rsidRDefault="0055709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9 201,3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55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9 201,3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55709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1 777,5 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рублей;</w:t>
            </w:r>
          </w:p>
          <w:p w:rsidR="00000000" w:rsidRDefault="0055709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1529,8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-  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57092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-  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огноз развития соответствующей сферы реализации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1" w:name="4i7ojhp"/>
      <w:bookmarkEnd w:id="21"/>
    </w:p>
    <w:p w:rsidR="00000000" w:rsidRDefault="0055709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творчества, музейного, библиотечного дела, молодых дарований - являются ключевыми задачами муниципальной политики в 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организуют и проводят в течение года около 10 тысяч культурно-массовых мероприятий, более 40 смотров-конкурсов и фестивалей. 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лее 8,8 тысяч человек Кореновского района посещают 336 клубных формирования, из них — 224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ают более 398,3 тысячи экземпляров, процент охвата жителей Кореновского района библиотечным обслуживанием составляет 47,3 %, что значительно выше среднекраевого показателя (33,2%).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бюджет в 2022 году составил 177 миллионов рублей, в том числе поселений — 134,2 миллионов рублей.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55709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тель— 18 163 рублей)</w:t>
      </w:r>
    </w:p>
    <w:p w:rsidR="00000000" w:rsidRDefault="00557092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человека.</w:t>
      </w:r>
    </w:p>
    <w:p w:rsidR="00000000" w:rsidRDefault="0055709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всероссийских, краевых фестивалях-конкурсах. Участники фестивалей отмечены 450 дипломами лауреатов.</w:t>
      </w:r>
    </w:p>
    <w:p w:rsidR="00000000" w:rsidRDefault="00557092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иципального образования Кореновский район утвержден план мероприятий («дорожная карта»), изменения в отраслях социальной сферы муниципального образования Кореновский район, в соответствие с которой уровень удовлетворенности населения 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ания Кореновский район качеством предоставления муниципальных услуг в сфере культуры должен составить 96,8 %.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Целевым ориентиром преобразований, проводимых Правительством Российской Федерации и администрацией Краснодарского края, является интенсивный рост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производительности труда и доступность услуг в социальной сфере, ориентация деятельности учреждений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ание благоприятной общественной атмосферы, поддержка и дальнейшее развитие культуры района, а также: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увеличения доступности культурного продукта, предоставляемого учреждениями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льтуры;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55709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учреждений культуры и искусства, достижение поставленных целей и решение тактических задач должно идти с использованием программно - целевого метода, что обеспечит больший уровень эффективности использования бюджетных ресурсов и лучшую связь их объемов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достижением планируемых результатов.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5709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отрасли «культура»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 муниципальных услуг в сфере культуры.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557092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азателей приведены в приложении № 1.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 «Отдельные мероприятия по реализации Программы».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1"/>
        <w:gridCol w:w="1278"/>
        <w:gridCol w:w="1982"/>
        <w:gridCol w:w="1050"/>
        <w:gridCol w:w="1047"/>
        <w:gridCol w:w="1049"/>
        <w:gridCol w:w="973"/>
        <w:gridCol w:w="988"/>
      </w:tblGrid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557092">
      <w:pPr>
        <w:shd w:val="clear" w:color="auto" w:fill="FFFFFF"/>
        <w:jc w:val="center"/>
      </w:pPr>
    </w:p>
    <w:p w:rsidR="00000000" w:rsidRDefault="00557092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557092">
      <w:pPr>
        <w:shd w:val="clear" w:color="auto" w:fill="FFFFFF"/>
        <w:jc w:val="center"/>
      </w:pPr>
    </w:p>
    <w:p w:rsidR="00000000" w:rsidRDefault="0055709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55709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программы, устанавливает сроки их предоставления;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размещает информацию о ходе реализации и достигнутых результатах  муниципальной программы на официальном сайте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информационно-телекоммуникационной сети Интернет;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й. </w:t>
      </w:r>
    </w:p>
    <w:p w:rsidR="00000000" w:rsidRDefault="0055709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тдел культуры администрации муниципального образования Кореновский район, который представляет в управление экономики администрации муниципального образования Кореновский   район информацию об исполнении мероприятий подпрограммы в следующие сроки: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объема использованных денежных средств, оценку эффективности и результативности реализации подпрограммы.</w:t>
      </w:r>
    </w:p>
    <w:p w:rsidR="00000000" w:rsidRDefault="0055709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Кореновский район сводную информацию о реализации программных мероприятий в установленные сроки.</w:t>
      </w: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Д.В. Мартыненко</w:t>
      </w:r>
    </w:p>
    <w:p w:rsidR="00000000" w:rsidRDefault="00557092">
      <w:pPr>
        <w:widowControl/>
        <w:suppressAutoHyphens w:val="0"/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1191" w:right="1134" w:bottom="1134" w:left="1693" w:header="1134" w:footer="720" w:gutter="0"/>
          <w:pgNumType w:start="53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557092">
      <w:pPr>
        <w:pageBreakBefore/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район «Развитие культуры на 2022-2026 годы»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1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1"/>
        <w:gridCol w:w="5679"/>
        <w:gridCol w:w="1342"/>
        <w:gridCol w:w="1079"/>
        <w:gridCol w:w="1227"/>
        <w:gridCol w:w="1229"/>
        <w:gridCol w:w="1225"/>
        <w:gridCol w:w="1227"/>
        <w:gridCol w:w="1254"/>
      </w:tblGrid>
      <w:tr w:rsidR="00000000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именование целевого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557092">
      <w:pPr>
        <w:shd w:val="clear" w:color="auto" w:fill="FFFFFF"/>
      </w:pPr>
    </w:p>
    <w:p w:rsidR="00000000" w:rsidRDefault="00557092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570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айон                                                                                                                          Д.В. Мартыненко</w:t>
      </w: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5709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ципальной программы муниципального образования Кореновский район  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570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6"/>
        <w:gridCol w:w="567"/>
        <w:gridCol w:w="1581"/>
        <w:gridCol w:w="971"/>
        <w:gridCol w:w="907"/>
        <w:gridCol w:w="908"/>
        <w:gridCol w:w="907"/>
        <w:gridCol w:w="907"/>
        <w:gridCol w:w="908"/>
        <w:gridCol w:w="979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Повышение качества и расширение спектра муниципальных услуг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сфере культуры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район, получатель средств- отдел культуры администрации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5709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жетные источники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5709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5709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5709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55709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557092">
      <w:pPr>
        <w:widowControl/>
        <w:shd w:val="clear" w:color="auto" w:fill="FFFFFF"/>
        <w:sectPr w:rsidR="00000000">
          <w:headerReference w:type="even" r:id="rId37"/>
          <w:headerReference w:type="default" r:id="rId38"/>
          <w:headerReference w:type="first" r:id="rId39"/>
          <w:pgSz w:w="16838" w:h="11906" w:orient="landscape"/>
          <w:pgMar w:top="1693" w:right="1134" w:bottom="1134" w:left="1134" w:header="1134" w:footer="720" w:gutter="0"/>
          <w:pgNumType w:start="59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Д.В. Мартыненко</w:t>
      </w:r>
    </w:p>
    <w:p w:rsidR="00000000" w:rsidRDefault="00557092"/>
    <w:sectPr w:rsidR="00000000">
      <w:headerReference w:type="even" r:id="rId40"/>
      <w:headerReference w:type="default" r:id="rId41"/>
      <w:headerReference w:type="first" r:id="rId42"/>
      <w:pgSz w:w="16838" w:h="11906" w:orient="landscape"/>
      <w:pgMar w:top="1701" w:right="1134" w:bottom="850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709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570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7092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5570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22</w:t>
    </w:r>
  </w:p>
  <w:p w:rsidR="00000000" w:rsidRDefault="00557092">
    <w:pPr>
      <w:pStyle w:val="af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29</w:t>
    </w:r>
  </w:p>
  <w:p w:rsidR="00000000" w:rsidRDefault="00557092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  <w:p w:rsidR="00000000" w:rsidRDefault="00557092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39</w:t>
    </w:r>
  </w:p>
  <w:p w:rsidR="00000000" w:rsidRDefault="0055709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46</w:t>
    </w:r>
  </w:p>
  <w:p w:rsidR="00000000" w:rsidRDefault="00557092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53</w:t>
    </w:r>
  </w:p>
  <w:p w:rsidR="00000000" w:rsidRDefault="00557092">
    <w:pPr>
      <w:pStyle w:val="af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59</w:t>
    </w:r>
  </w:p>
  <w:p w:rsidR="00000000" w:rsidRDefault="00557092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61</w:t>
    </w:r>
  </w:p>
  <w:p w:rsidR="00000000" w:rsidRDefault="00557092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  <w:p w:rsidR="00000000" w:rsidRDefault="00557092">
    <w:pPr>
      <w:pStyle w:val="af0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14</w:t>
    </w:r>
  </w:p>
  <w:p w:rsidR="00000000" w:rsidRDefault="00557092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  <w:jc w:val="center"/>
    </w:pPr>
    <w:r>
      <w:t>16</w:t>
    </w:r>
  </w:p>
  <w:p w:rsidR="00000000" w:rsidRDefault="00557092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09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092"/>
    <w:rsid w:val="0055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732D9BB-EE23-445E-9555-AEB9F0DF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tabs>
        <w:tab w:val="left" w:pos="0"/>
      </w:tabs>
      <w:ind w:left="720" w:hanging="360"/>
      <w:outlineLvl w:val="0"/>
    </w:pPr>
    <w:rPr>
      <w:lang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DefaultParagraphFont"/>
    <w:rPr>
      <w:rFonts w:ascii="Liberation Serif" w:eastAsia="SimSun" w:hAnsi="Liberation Serif" w:cs="Lucida Sans"/>
      <w:i/>
      <w:iCs/>
      <w:sz w:val="24"/>
      <w:szCs w:val="24"/>
      <w:lang w:eastAsia="zh-CN" w:bidi="hi-IN"/>
    </w:rPr>
  </w:style>
  <w:style w:type="character" w:customStyle="1" w:styleId="20">
    <w:name w:val="Заголовок 2 Знак"/>
    <w:basedOn w:val="DefaultParagraphFont"/>
    <w:rPr>
      <w:rFonts w:ascii="Liberation Serif" w:eastAsia="SimSun" w:hAnsi="Liberation Serif" w:cs="Lucida Sans"/>
      <w:i/>
      <w:iCs/>
      <w:sz w:val="24"/>
      <w:szCs w:val="24"/>
      <w:lang w:eastAsia="zh-CN" w:bidi="hi-IN"/>
    </w:rPr>
  </w:style>
  <w:style w:type="character" w:customStyle="1" w:styleId="30">
    <w:name w:val="Заголовок 3 Знак"/>
    <w:basedOn w:val="DefaultParagraphFont"/>
    <w:rPr>
      <w:rFonts w:ascii="Liberation Serif" w:eastAsia="SimSun" w:hAnsi="Liberation Serif" w:cs="Lucida Sans"/>
      <w:b/>
      <w:i/>
      <w:iCs/>
      <w:szCs w:val="28"/>
      <w:lang w:eastAsia="zh-CN" w:bidi="hi-IN"/>
    </w:rPr>
  </w:style>
  <w:style w:type="character" w:customStyle="1" w:styleId="40">
    <w:name w:val="Заголовок 4 Знак"/>
    <w:basedOn w:val="DefaultParagraphFont"/>
    <w:rPr>
      <w:rFonts w:ascii="Liberation Serif" w:eastAsia="SimSun" w:hAnsi="Liberation Serif" w:cs="Lucida Sans"/>
      <w:b/>
      <w:i/>
      <w:iCs/>
      <w:sz w:val="24"/>
      <w:szCs w:val="24"/>
      <w:lang w:eastAsia="zh-CN" w:bidi="hi-IN"/>
    </w:rPr>
  </w:style>
  <w:style w:type="character" w:customStyle="1" w:styleId="50">
    <w:name w:val="Заголовок 5 Знак"/>
    <w:basedOn w:val="DefaultParagraphFont"/>
    <w:rPr>
      <w:rFonts w:ascii="Liberation Serif" w:eastAsia="SimSun" w:hAnsi="Liberation Serif" w:cs="Lucida Sans"/>
      <w:b/>
      <w:i/>
      <w:iCs/>
      <w:sz w:val="20"/>
      <w:szCs w:val="20"/>
      <w:lang w:eastAsia="zh-CN" w:bidi="hi-IN"/>
    </w:rPr>
  </w:style>
  <w:style w:type="character" w:customStyle="1" w:styleId="61">
    <w:name w:val="Заголовок 6 Знак"/>
    <w:basedOn w:val="DefaultParagraphFont"/>
    <w:rPr>
      <w:rFonts w:ascii="Liberation Serif" w:eastAsia="SimSun" w:hAnsi="Liberation Serif" w:cs="Lucida Sans"/>
      <w:b/>
      <w:i/>
      <w:iCs/>
      <w:sz w:val="20"/>
      <w:szCs w:val="20"/>
      <w:lang w:eastAsia="zh-CN" w:bidi="hi-IN"/>
    </w:rPr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lang w:val="ru-RU" w:bidi="ar-SA"/>
    </w:rPr>
  </w:style>
  <w:style w:type="character" w:customStyle="1" w:styleId="WW8Num7z0">
    <w:name w:val="WW8Num7z0"/>
    <w:rPr>
      <w:rFonts w:eastAsia="Times New Roman"/>
      <w:color w:val="000000"/>
    </w:rPr>
  </w:style>
  <w:style w:type="character" w:customStyle="1" w:styleId="WW8Num8z0">
    <w:name w:val="WW8Num8z0"/>
    <w:rPr>
      <w:rFonts w:eastAsia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w w:val="100"/>
      <w:lang w:val="ru-RU" w:bidi="ar-SA"/>
    </w:rPr>
  </w:style>
  <w:style w:type="character" w:customStyle="1" w:styleId="WW8Num9z1">
    <w:name w:val="WW8Num9z1"/>
    <w:rPr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5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6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ab">
    <w:name w:val="Символ нумерации"/>
  </w:style>
  <w:style w:type="character" w:customStyle="1" w:styleId="14">
    <w:name w:val="Основной текст Знак1"/>
    <w:basedOn w:val="DefaultParagraphFont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15">
    <w:name w:val="Подзаголовок Знак1"/>
    <w:basedOn w:val="DefaultParagraphFont"/>
    <w:rPr>
      <w:rFonts w:ascii="Georgia" w:eastAsia="Georgia" w:hAnsi="Georgia" w:cs="Georgia"/>
      <w:i/>
      <w:iCs/>
      <w:color w:val="666666"/>
      <w:sz w:val="48"/>
      <w:szCs w:val="48"/>
      <w:lang w:eastAsia="zh-CN" w:bidi="hi-IN"/>
    </w:rPr>
  </w:style>
  <w:style w:type="character" w:customStyle="1" w:styleId="22">
    <w:name w:val="Текст выноски Знак2"/>
    <w:basedOn w:val="DefaultParagraphFont"/>
    <w:rPr>
      <w:rFonts w:ascii="Segoe UI" w:eastAsia="SimSun" w:hAnsi="Segoe UI" w:cs="Segoe UI"/>
      <w:sz w:val="18"/>
      <w:szCs w:val="16"/>
      <w:lang w:eastAsia="zh-CN" w:bidi="hi-IN"/>
    </w:rPr>
  </w:style>
  <w:style w:type="character" w:customStyle="1" w:styleId="16">
    <w:name w:val="Текст примечания Знак1"/>
    <w:basedOn w:val="DefaultParagraphFont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customStyle="1" w:styleId="17">
    <w:name w:val="Тема примечания Знак1"/>
    <w:basedOn w:val="16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23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a"/>
    <w:pPr>
      <w:suppressLineNumbers/>
    </w:pPr>
    <w:rPr>
      <w:rFonts w:cs="Arial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18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4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5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9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2"/>
    <w:pPr>
      <w:suppressLineNumbers/>
    </w:pPr>
    <w:rPr>
      <w:rFonts w:cs="Lucida Sans"/>
    </w:rPr>
  </w:style>
  <w:style w:type="paragraph" w:customStyle="1" w:styleId="24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5">
    <w:name w:val="Указатель2"/>
    <w:basedOn w:val="a"/>
    <w:next w:val="af0"/>
    <w:pPr>
      <w:suppressLineNumbers/>
    </w:pPr>
  </w:style>
  <w:style w:type="paragraph" w:customStyle="1" w:styleId="19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next w:val="af3"/>
    <w:pPr>
      <w:suppressLineNumbers/>
    </w:pPr>
  </w:style>
  <w:style w:type="paragraph" w:styleId="af2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/>
    </w:rPr>
  </w:style>
  <w:style w:type="paragraph" w:customStyle="1" w:styleId="af4">
    <w:name w:val="Верхний и нижний колонтитулы"/>
    <w:basedOn w:val="a"/>
    <w:next w:val="BalloonText"/>
    <w:pPr>
      <w:suppressLineNumbers/>
    </w:pPr>
  </w:style>
  <w:style w:type="paragraph" w:customStyle="1" w:styleId="af3">
    <w:name w:val="Содержимое таблицы"/>
    <w:basedOn w:val="a"/>
    <w:next w:val="NoSpacing"/>
    <w:pPr>
      <w:suppressLineNumbers/>
    </w:pPr>
  </w:style>
  <w:style w:type="paragraph" w:customStyle="1" w:styleId="NoSpacing">
    <w:name w:val="No Spacing"/>
    <w:next w:val="af3"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5">
    <w:name w:val="Заголовок таблицы"/>
    <w:basedOn w:val="NoSpacing"/>
    <w:next w:val="210"/>
    <w:pPr>
      <w:suppressLineNumbers/>
      <w:jc w:val="center"/>
    </w:pPr>
    <w:rPr>
      <w:b/>
      <w:bCs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6"/>
      <w:lang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2"/>
      </w:numPr>
      <w:jc w:val="center"/>
    </w:pPr>
    <w:rPr>
      <w:b/>
    </w:rPr>
  </w:style>
  <w:style w:type="paragraph" w:customStyle="1" w:styleId="1b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paragraph" w:customStyle="1" w:styleId="1c">
    <w:name w:val="Текст примечания1"/>
    <w:basedOn w:val="a"/>
    <w:rPr>
      <w:sz w:val="20"/>
      <w:szCs w:val="18"/>
      <w:lang/>
    </w:rPr>
  </w:style>
  <w:style w:type="paragraph" w:customStyle="1" w:styleId="annotationtext">
    <w:name w:val="annotation text"/>
    <w:basedOn w:val="a"/>
    <w:rPr>
      <w:sz w:val="20"/>
      <w:szCs w:val="18"/>
    </w:rPr>
  </w:style>
  <w:style w:type="paragraph" w:customStyle="1" w:styleId="annotationsubject">
    <w:name w:val="annotation subject"/>
    <w:basedOn w:val="1c"/>
    <w:next w:val="1c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17733</Words>
  <Characters>101080</Characters>
  <Application>Microsoft Office Word</Application>
  <DocSecurity>0</DocSecurity>
  <Lines>842</Lines>
  <Paragraphs>237</Paragraphs>
  <ScaleCrop>false</ScaleCrop>
  <Company>SPecialiST RePack</Company>
  <LinksUpToDate>false</LinksUpToDate>
  <CharactersWithSpaces>118576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user</cp:lastModifiedBy>
  <cp:revision>2</cp:revision>
  <cp:lastPrinted>2025-03-12T07:28:00Z</cp:lastPrinted>
  <dcterms:created xsi:type="dcterms:W3CDTF">2025-03-24T09:49:00Z</dcterms:created>
  <dcterms:modified xsi:type="dcterms:W3CDTF">2025-03-24T09:49:00Z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