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B03BF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5" o:title="" croptop="-560f" cropbottom="-560f" cropleft="-700f" cropright="-700f"/>
          </v:shape>
        </w:pict>
      </w:r>
    </w:p>
    <w:p w:rsidR="00000000" w:rsidRDefault="000B03BF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B03B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B03BF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B03BF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B03BF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0B03BF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0B03BF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71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</w:p>
    <w:p w:rsidR="00000000" w:rsidRDefault="000B0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0B0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Кореновский район от 30 октября 2023 года №1900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ной программы   «Обеспечение безопасности  населения на территории 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образования Кореновский район  на 2024 — 2028 годы»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Федерации, постановлением администрации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Кореновский район от 02 ноября 2023 года №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и оценке эффективности реализации муниципальных программ муниципального образования Кореновский район», администрация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>
        <w:t>:</w:t>
      </w:r>
    </w:p>
    <w:p w:rsidR="00000000" w:rsidRDefault="000B03BF">
      <w:pPr>
        <w:widowControl w:val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1. Внести в постановление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 Кореновский район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территории муниципального образования Кореновский район на 2024 — 2028 годы»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изменения:</w:t>
      </w:r>
    </w:p>
    <w:p w:rsidR="00000000" w:rsidRDefault="000B03BF">
      <w:pPr>
        <w:widowControl w:val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В наименовании, по тексту постановления  слова «муниципального образования Кореновский район» заменить словами «муниципального образования Кореновский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льный район Краснодарского края» в соответствующих падежах.</w:t>
      </w:r>
    </w:p>
    <w:p w:rsidR="00000000" w:rsidRDefault="000B03BF">
      <w:pPr>
        <w:widowControl w:val="0"/>
        <w:ind w:firstLine="68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Изложить приложение к постановлению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000000" w:rsidRDefault="000B03BF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2. Признать утратившим силу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16 декабря 2024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да №1672 «О внесении изменений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Кореновский район на 2024 — 2028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lastRenderedPageBreak/>
        <w:t>годы»</w:t>
      </w:r>
    </w:p>
    <w:p w:rsidR="00000000" w:rsidRDefault="000B03BF">
      <w:pPr>
        <w:widowControl w:val="0"/>
        <w:jc w:val="center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2</w:t>
      </w:r>
    </w:p>
    <w:p w:rsidR="00000000" w:rsidRDefault="000B03BF">
      <w:pPr>
        <w:widowControl w:val="0"/>
        <w:ind w:firstLine="737"/>
        <w:jc w:val="both"/>
      </w:pPr>
    </w:p>
    <w:p w:rsidR="00000000" w:rsidRDefault="000B03BF">
      <w:pPr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3. 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00000" w:rsidRDefault="000B03BF">
      <w:pPr>
        <w:widowControl w:val="0"/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sz w:val="28"/>
          <w:szCs w:val="28"/>
        </w:rPr>
        <w:t>Постановление вступает в силу со дня его подписания.</w:t>
      </w:r>
    </w:p>
    <w:p w:rsidR="00000000" w:rsidRDefault="000B03BF">
      <w:pPr>
        <w:widowControl w:val="0"/>
        <w:jc w:val="both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С.А. Голобородько</w:t>
      </w:r>
    </w:p>
    <w:p w:rsidR="00000000" w:rsidRDefault="000B03BF">
      <w:pPr>
        <w:pageBreakBefor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0B03BF">
      <w:pPr>
        <w:ind w:left="54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                 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000000" w:rsidRDefault="000B03BF">
      <w:pPr>
        <w:ind w:left="5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29.05.2025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712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7"/>
        <w:gridCol w:w="6348"/>
      </w:tblGrid>
      <w:tr w:rsidR="00000000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229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населения от ЧС»;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истемы оповещения»;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укрепление правопорядка»;</w:t>
            </w:r>
          </w:p>
          <w:p w:rsidR="00000000" w:rsidRDefault="000B03BF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0B03BF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«Поддержка возрождения и развития казачества»</w:t>
            </w:r>
          </w:p>
          <w:p w:rsidR="00000000" w:rsidRDefault="000B03BF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ность»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эффективности деятельности по ликвидации и предупреждения чрезвычайных ситуаций, угроз природного и техногенного характера.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Создание  единой  муниципальной автоматизиров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государственной политики Российской Федера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совершенствование системы профилактических мер антитеррористической направленности,  предупреждение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ррористических и экстремистских проявлений.</w:t>
            </w:r>
          </w:p>
          <w:p w:rsidR="00000000" w:rsidRDefault="000B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000000" w:rsidRDefault="000B0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5. Реализация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ственной национальной политики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6. 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по предупреждению и ликвидации пожарн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ой опасности.</w:t>
            </w:r>
          </w:p>
        </w:tc>
      </w:tr>
      <w:tr w:rsidR="00000000">
        <w:trPr>
          <w:trHeight w:val="3067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населения, с использованием специализ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решение о проведении эвакуационных мероприятий в чрезвычайных ситуациях и организовать их проведение;</w:t>
            </w:r>
          </w:p>
          <w:p w:rsidR="00000000" w:rsidRDefault="000B03BF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</w:t>
            </w:r>
            <w:r>
              <w:rPr>
                <w:sz w:val="28"/>
                <w:szCs w:val="28"/>
                <w:lang w:eastAsia="ar-SA"/>
              </w:rPr>
              <w:t>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0B0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повышение доверия населения к органам муниципальной власти;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0B03BF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филактики правонарушений и укрепления правопорядка;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0B03BF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требований действующего законодательства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0B03BF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материальных и организационных условий дл</w:t>
            </w:r>
            <w:r>
              <w:rPr>
                <w:rFonts w:cs="Times New Roman"/>
                <w:sz w:val="28"/>
                <w:szCs w:val="28"/>
                <w:lang w:eastAsia="ar-SA" w:bidi="ar-SA"/>
              </w:rPr>
              <w:t>я деятельности казачьих обществ;</w:t>
            </w:r>
          </w:p>
          <w:p w:rsidR="00000000" w:rsidRDefault="000B03BF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0B03BF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совершенствование системы экстренного реагирования пр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и возникновения пожарной опасности</w:t>
            </w:r>
          </w:p>
          <w:p w:rsidR="00000000" w:rsidRDefault="000B03BF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сотру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дников индивидуальными средствами защиты; 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характера;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нетерпимости к подобным проявлениям, повышению бдительности и осведомленности;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 бдительности, уровня правовой осведомленности и правовой культуры граждан; 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(ед.);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выявленных в нарушении Закона Кр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Краснодарском крае» на территории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ореновского района (чел.);</w:t>
            </w:r>
          </w:p>
          <w:p w:rsidR="00000000" w:rsidRDefault="000B03BF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наглядной агитационной продукции по профилактике право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нарушений; </w:t>
            </w:r>
          </w:p>
          <w:p w:rsidR="00000000" w:rsidRDefault="000B03BF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ий;</w:t>
            </w:r>
          </w:p>
          <w:p w:rsidR="00000000" w:rsidRDefault="000B03BF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0B03BF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0B03BF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и развитию казачества на территории Кореновского  района</w:t>
            </w:r>
          </w:p>
          <w:p w:rsidR="00000000" w:rsidRDefault="000B03BF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Объем финансирования мероприятий программы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10 884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4 391,0 тысяч 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3 476,0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щего состояния и прогноз развития соответствующей сферы реализации муниципальной 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расположены опасные объекты: нефтебазы, склады горюче-смазочных материалов, автозаправочные станции, 119 дамб на реках. Более 200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программой предусмат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риваются основные направления деятельности по решению вышеуказанных проблем.</w:t>
      </w:r>
    </w:p>
    <w:p w:rsidR="00000000" w:rsidRDefault="000B03BF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реализации законных прав гражд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ан на защиту жизни, здоровья и личного имущества. Созданная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 существенно улучшит порядок оповеще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населения в экстренной и чрезвычайной ситуации. При этом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звуковых и речевых сигналов, а также л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0B03BF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0B03BF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предусматривает повышение эффективности деятельности по профилактике правонарушен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ий и укреплению правопорядка на территории  муниципального  образования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проживают представители более 71 н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ациональности. Несмотря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тояний и межнациональных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пасности, следовательно, должны находиться под пристальным вниманием органов местного самоуправления.</w:t>
      </w:r>
    </w:p>
    <w:p w:rsidR="00000000" w:rsidRDefault="000B03BF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Программа содействует выполнению единой государственной политики по возрождению и развитию казачества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Кореновский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она определяет мероприятия с указанием объемов денежных средств и исполнителей. Она является планово-координационным документом.</w:t>
      </w:r>
    </w:p>
    <w:p w:rsidR="00000000" w:rsidRDefault="000B03BF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0B03BF">
      <w:pPr>
        <w:jc w:val="center"/>
      </w:pPr>
    </w:p>
    <w:p w:rsidR="00000000" w:rsidRDefault="000B03BF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я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 представлены в приложении №1 к паспорту муниципальной программы.</w:t>
      </w:r>
    </w:p>
    <w:p w:rsidR="00000000" w:rsidRDefault="000B03BF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программы являются:</w:t>
      </w:r>
    </w:p>
    <w:p w:rsidR="00000000" w:rsidRDefault="000B03BF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0B03BF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0B03BF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автоматизированной системы централизованного оповеще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Краснодарского края в области про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филактики терроризма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ий.</w:t>
      </w:r>
    </w:p>
    <w:p w:rsidR="00000000" w:rsidRDefault="000B03BF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0B03BF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национальной политики на территории К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0B03BF">
      <w:pPr>
        <w:widowControl w:val="0"/>
        <w:ind w:firstLine="68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Реализация в муниципальном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образовании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государственной политики по возрождению и развитию казачества.</w:t>
      </w:r>
    </w:p>
    <w:p w:rsidR="00000000" w:rsidRDefault="000B03BF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ликвидации пожарной опасности.</w:t>
      </w:r>
    </w:p>
    <w:p w:rsidR="00000000" w:rsidRDefault="000B03BF">
      <w:pPr>
        <w:widowControl w:val="0"/>
        <w:ind w:firstLine="737"/>
        <w:jc w:val="both"/>
      </w:pPr>
    </w:p>
    <w:p w:rsidR="00000000" w:rsidRDefault="000B03BF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ными задачами программы являются:</w:t>
      </w:r>
    </w:p>
    <w:p w:rsidR="00000000" w:rsidRDefault="000B03BF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 и экстренного реагирования в чрезвычайных ситуациях,</w:t>
      </w:r>
    </w:p>
    <w:p w:rsidR="00000000" w:rsidRDefault="000B03BF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0B03BF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</w:r>
    </w:p>
    <w:p w:rsidR="00000000" w:rsidRDefault="000B03BF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 оповещения населения, создание мето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дических основ культуры безопасности жизнедеятельности;</w:t>
      </w:r>
    </w:p>
    <w:p w:rsidR="00000000" w:rsidRDefault="000B03BF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0B03BF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обеспечить приобретение и установку необходимого оборудова</w:t>
      </w:r>
      <w:r>
        <w:rPr>
          <w:rFonts w:ascii="Times New Roman" w:hAnsi="Times New Roman" w:cs="Times New Roman"/>
          <w:sz w:val="28"/>
          <w:szCs w:val="28"/>
        </w:rPr>
        <w:t>ния для организации 100% оповещения населения в зонах бедствий и в случаях возникновения чрезвычайных ситуаций;</w:t>
      </w:r>
    </w:p>
    <w:p w:rsidR="00000000" w:rsidRDefault="000B03BF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рования населения об угрозе возникновения или возникновения чрезвычайных ситуаций;</w:t>
      </w:r>
    </w:p>
    <w:p w:rsidR="00000000" w:rsidRDefault="000B03BF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0B03B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подготовка необходимых сил и средств,  а  также обучение </w:t>
      </w:r>
      <w:r>
        <w:rPr>
          <w:sz w:val="28"/>
          <w:szCs w:val="28"/>
          <w:lang w:eastAsia="ar-SA"/>
        </w:rPr>
        <w:t>населения способам защиты в  экстремальных ситуациях мирного и военного времени.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повышение ответственности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доверия населения к органам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власти;</w:t>
      </w:r>
    </w:p>
    <w:p w:rsidR="00000000" w:rsidRDefault="000B03BF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народными дружинами и общественными объединениями правоохранительной направленности;</w:t>
      </w:r>
    </w:p>
    <w:p w:rsidR="00000000" w:rsidRDefault="000B03BF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правонарушений и укрепления правопорядка;</w:t>
      </w:r>
    </w:p>
    <w:p w:rsidR="00000000" w:rsidRDefault="000B03BF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 населения Кореновского района;</w:t>
      </w:r>
    </w:p>
    <w:p w:rsidR="00000000" w:rsidRDefault="000B03BF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ьных    общин разъяснительной работы среди молодежи по недопущению проявлений межнациональной розни, противодействие идеологии  экстремизма;</w:t>
      </w:r>
    </w:p>
    <w:p w:rsidR="00000000" w:rsidRDefault="000B03BF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- создание необходимых материальных и организационных условий для деятельности казачьих обществ;</w:t>
      </w:r>
    </w:p>
    <w:p w:rsidR="00000000" w:rsidRDefault="000B03BF">
      <w:pPr>
        <w:widowControl w:val="0"/>
        <w:suppressLineNumbers/>
        <w:snapToGrid w:val="0"/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привлечение к вы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</w:r>
    </w:p>
    <w:p w:rsidR="00000000" w:rsidRDefault="000B03BF">
      <w:pPr>
        <w:widowControl w:val="0"/>
        <w:suppressLineNumbers/>
        <w:snapToGrid w:val="0"/>
        <w:ind w:left="-13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экстренного реагирования при возникновения пожарной опасности.</w:t>
      </w:r>
    </w:p>
    <w:p w:rsidR="00000000" w:rsidRDefault="000B03BF">
      <w:pPr>
        <w:widowControl w:val="0"/>
        <w:suppressLineNumbers/>
        <w:snapToGrid w:val="0"/>
        <w:ind w:left="-13"/>
        <w:jc w:val="both"/>
      </w:pPr>
    </w:p>
    <w:p w:rsidR="00000000" w:rsidRDefault="000B03BF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Перечень и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краткое описание подпрограмм.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Мероприятия муниципальной программы носят комплексный характер, обеспечивающие безопасность и защищенность населения Кореновского района. 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объединены в следующие подпрограммы:</w:t>
      </w:r>
    </w:p>
    <w:p w:rsidR="00000000" w:rsidRDefault="000B03BF">
      <w:pPr>
        <w:numPr>
          <w:ilvl w:val="0"/>
          <w:numId w:val="2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вершенствование системы ГО, защита населения от ЧС» (направлена на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pStyle w:val="aa"/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(направле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«Антитеррористическая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антитеррористической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профилактике правонарушений и укреплению правопорядка на территории Кореновского района)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0B03BF">
      <w:pPr>
        <w:numPr>
          <w:ilvl w:val="0"/>
          <w:numId w:val="2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направленной на разъяснение требований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numPr>
          <w:ilvl w:val="0"/>
          <w:numId w:val="2"/>
        </w:num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Поддержка возрождения и развития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 районного казачьего общества).</w:t>
      </w:r>
    </w:p>
    <w:p w:rsidR="00000000" w:rsidRDefault="000B03BF">
      <w:pPr>
        <w:widowControl w:val="0"/>
        <w:numPr>
          <w:ilvl w:val="0"/>
          <w:numId w:val="2"/>
        </w:numPr>
        <w:ind w:left="680" w:hanging="34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«Противопожарная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безопасности).</w:t>
      </w:r>
    </w:p>
    <w:p w:rsidR="00000000" w:rsidRDefault="000B03BF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4. Обоснование ресурсного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обеспечения муниципальной 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0B03BF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25 123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 рублей.</w:t>
      </w:r>
    </w:p>
    <w:p w:rsidR="00000000" w:rsidRDefault="000B03BF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7"/>
        <w:gridCol w:w="1278"/>
        <w:gridCol w:w="1020"/>
        <w:gridCol w:w="795"/>
        <w:gridCol w:w="840"/>
        <w:gridCol w:w="855"/>
        <w:gridCol w:w="960"/>
      </w:tblGrid>
      <w:tr w:rsidR="00000000">
        <w:tc>
          <w:tcPr>
            <w:tcW w:w="37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</w:t>
            </w:r>
            <w:r>
              <w:rPr>
                <w:rFonts w:ascii="Times New Roman" w:hAnsi="Times New Roman" w:cs="Times New Roman"/>
              </w:rPr>
              <w:t>сходов</w:t>
            </w:r>
          </w:p>
        </w:tc>
        <w:tc>
          <w:tcPr>
            <w:tcW w:w="574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37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37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16077,8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</w:t>
            </w:r>
            <w:r>
              <w:rPr>
                <w:rFonts w:ascii="Times New Roman" w:hAnsi="Times New Roman" w:cs="Times New Roman"/>
              </w:rPr>
              <w:t xml:space="preserve">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тика правонарушений и укрепление правопорядка»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«Противодействие национальному, религиозному э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>Райо</w:t>
            </w:r>
            <w:r>
              <w:rPr>
                <w:rFonts w:ascii="Times New Roman" w:eastAsia="Lucida Sans Unicode" w:hAnsi="Times New Roman" w:cs="Times New Roman"/>
                <w:lang/>
              </w:rPr>
              <w:t xml:space="preserve">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3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программы производится ежегодно. В соответствии с базовым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2023 года № 1921 «Об утверждении Порядка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ind w:left="-30"/>
        <w:jc w:val="center"/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товаров, работ, услуг для обеспечения госу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муниципальной 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согласование с участниками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реализацию  муниципальной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рограммы, координацию деятельности участников 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ствляет подготовку предложений по объемам и источникам финансирования реализации  муниципальной программы на основании предложений участников 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одный доклад о ходе реализации  муниципальной 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программы в печатных средствах массовой информации,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полномочия, установленные  муниципальной 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 и оценке 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нальным отношениям администрации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программы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ЦЕ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ЛИ,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программы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дарского края </w:t>
      </w:r>
    </w:p>
    <w:p w:rsidR="00000000" w:rsidRDefault="000B03BF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ind w:hanging="30"/>
        <w:rPr>
          <w:sz w:val="28"/>
          <w:szCs w:val="28"/>
        </w:rPr>
      </w:pP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990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12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программа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Кореновский му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  «Обеспечение безопасности  населения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на 2024 — 2028 годы»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</w:t>
            </w:r>
            <w:r>
              <w:rPr>
                <w:rFonts w:ascii="Times New Roman" w:hAnsi="Times New Roman" w:cs="Times New Roman"/>
              </w:rPr>
              <w:t>еагирования в чрезвычайных ситуациях;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</w:t>
            </w:r>
            <w:r>
              <w:rPr>
                <w:rFonts w:ascii="Times New Roman" w:hAnsi="Times New Roman" w:cs="Times New Roman"/>
              </w:rPr>
              <w:t>преждения и ликвидации чрезвычайных ситуаций, пожаров, происшествий на водных объектах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</w:t>
            </w:r>
            <w:r>
              <w:rPr>
                <w:rFonts w:ascii="Times New Roman" w:eastAsia="Times New Roman" w:hAnsi="Times New Roman" w:cs="Times New Roman"/>
              </w:rPr>
              <w:t>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Запасы материальных средств для ликви</w:t>
            </w:r>
            <w:r>
              <w:rPr>
                <w:rFonts w:ascii="Times New Roman" w:hAnsi="Times New Roman" w:cs="Times New Roman"/>
              </w:rPr>
              <w:t>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</w:t>
            </w:r>
            <w:r>
              <w:rPr>
                <w:rFonts w:ascii="Times New Roman" w:hAnsi="Times New Roman" w:cs="Times New Roman"/>
              </w:rPr>
              <w:t xml:space="preserve"> населения в зонах бедствий и в случаях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</w:t>
            </w:r>
            <w:r>
              <w:rPr>
                <w:rFonts w:ascii="Times New Roman" w:eastAsia="Times New Roman" w:hAnsi="Times New Roman" w:cs="Times New Roman"/>
              </w:rPr>
              <w:t>овения или возникновения чрезвычайных ситуаций;</w:t>
            </w:r>
          </w:p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Обеспеченность необходимым оборудованием для  единой  муниципальной </w:t>
            </w:r>
            <w:r>
              <w:rPr>
                <w:rFonts w:ascii="Times New Roman" w:hAnsi="Times New Roman" w:cs="Times New Roman"/>
              </w:rPr>
              <w:t>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Реализация государственной политики Российской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Кореновский муниципальный район 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совершенствование системы профилактических мер антитеррористической направленности, предупрежде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0B03BF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ответственности  руководителей  предприятий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террористической деятельности, нетерпимос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илактике правонарушений и укреплению правопорядка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воохранительной направленности.</w:t>
            </w:r>
          </w:p>
          <w:p w:rsidR="00000000" w:rsidRDefault="000B03BF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</w:t>
            </w:r>
            <w:r>
              <w:rPr>
                <w:rFonts w:ascii="Times New Roman" w:hAnsi="Times New Roman" w:cs="Times New Roman"/>
                <w:color w:val="000000"/>
              </w:rPr>
              <w:t>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Кореновского района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взаимодействию      направленному     н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2,6 %</w:t>
            </w:r>
          </w:p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Times New Roman" w:hAnsi="Times New Roman" w:cs="Times New Roman"/>
                <w:lang w:eastAsia="ar-SA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дпрограмма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Реализация 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государственной политики по становлению и развитию казачества, возрождению и развитию духовно-культ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системы патриот</w:t>
            </w:r>
            <w:r>
              <w:rPr>
                <w:rFonts w:ascii="Times New Roman" w:hAnsi="Times New Roman" w:cs="Times New Roman"/>
                <w:color w:val="000000"/>
              </w:rPr>
              <w:t>ического воспитания казачьей молодежи, укрепления нравственных основ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культуры Кубанского казачества, образа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жизни, традиций и духовных ценностей казаков;</w:t>
            </w:r>
          </w:p>
          <w:p w:rsidR="00000000" w:rsidRDefault="000B03BF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0B03BF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</w:t>
            </w:r>
            <w:r>
              <w:rPr>
                <w:rFonts w:ascii="Times New Roman" w:hAnsi="Times New Roman" w:cs="Times New Roman"/>
                <w:color w:val="000000"/>
              </w:rPr>
              <w:t>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 xml:space="preserve">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 экстренного реагирования при возникновения пожарной опас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4"/>
        <w:gridCol w:w="6461"/>
      </w:tblGrid>
      <w:tr w:rsidR="00000000">
        <w:trPr>
          <w:trHeight w:val="2049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2091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1859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характера.</w:t>
            </w:r>
          </w:p>
        </w:tc>
      </w:tr>
      <w:tr w:rsidR="00000000">
        <w:trPr>
          <w:trHeight w:val="4880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создание методических основ культуры безопасности жизнедеятельности;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trHeight w:val="3316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0B03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0B03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уаций;</w:t>
            </w:r>
          </w:p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rPr>
          <w:trHeight w:val="1713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rPr>
          <w:trHeight w:val="4648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sz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sz w:val="28"/>
                <w:szCs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7627,8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0B0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 защите населения  и  территорий  от чрезвычайных ситуаций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риродного и  техногенного  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     Правительства        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ссийской Федерации    от   30   декабря    2003   года  № 794 «О единой государственной системе предупреждения и ликвидации чрезвычайных ситуаций».</w:t>
      </w:r>
    </w:p>
    <w:p w:rsidR="00000000" w:rsidRDefault="000B03BF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нефтебазы, склады горюче-смазочных материало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в, автозаправочные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вышеуказанных проблем.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вование системы управления и экстренного реагирования в чрезвычайных и кризисных ситуациях.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подготовки руководящего состава и насел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территорий муниципального образования в сфере предупреждения и ликвидации чрезвычайных ситуаций, пожаров, происшествий на водных объектах.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 методических основ культуры безопас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ности жизнедеятельности.</w:t>
      </w:r>
    </w:p>
    <w:p w:rsidR="00000000" w:rsidRDefault="000B03BF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 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чения целевых показателей определены в приложении №1. 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</w:t>
      </w:r>
      <w:r>
        <w:rPr>
          <w:rStyle w:val="FontStyle11"/>
          <w:rFonts w:ascii="Times New Roman" w:hAnsi="Times New Roman" w:cs="Times New Roman"/>
          <w:sz w:val="28"/>
          <w:szCs w:val="28"/>
        </w:rPr>
        <w:t>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43"/>
        <w:gridCol w:w="1037"/>
        <w:gridCol w:w="1509"/>
        <w:gridCol w:w="827"/>
        <w:gridCol w:w="826"/>
        <w:gridCol w:w="827"/>
        <w:gridCol w:w="839"/>
        <w:gridCol w:w="1167"/>
      </w:tblGrid>
      <w:tr w:rsidR="00000000">
        <w:tc>
          <w:tcPr>
            <w:tcW w:w="26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599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сирования мероприятий подпрограммы «Совершенствование системы ГО, защита населения от ЧС»</w:t>
            </w: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16077,8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 координатор муниципальной программы -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участников 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системы ГО, защита населения от ЧС» муни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"/>
        <w:gridCol w:w="2630"/>
        <w:gridCol w:w="1170"/>
        <w:gridCol w:w="971"/>
        <w:gridCol w:w="851"/>
        <w:gridCol w:w="904"/>
        <w:gridCol w:w="904"/>
        <w:gridCol w:w="918"/>
        <w:gridCol w:w="825"/>
      </w:tblGrid>
      <w:tr w:rsidR="00000000">
        <w:trPr>
          <w:cantSplit/>
        </w:trPr>
        <w:tc>
          <w:tcPr>
            <w:tcW w:w="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t>п/п</w:t>
            </w:r>
          </w:p>
        </w:tc>
        <w:tc>
          <w:tcPr>
            <w:tcW w:w="2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</w:pPr>
          </w:p>
        </w:tc>
        <w:tc>
          <w:tcPr>
            <w:tcW w:w="44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2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</w:t>
            </w: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</w:t>
            </w:r>
            <w:r>
              <w:rPr>
                <w:rFonts w:ascii="Times New Roman" w:hAnsi="Times New Roman" w:cs="Times New Roman"/>
              </w:rPr>
              <w:t>ие инфраструктуры и материально-технической базы сил ликвидации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</w:t>
            </w:r>
            <w:r>
              <w:rPr>
                <w:rFonts w:ascii="Times New Roman" w:hAnsi="Times New Roman" w:cs="Times New Roman"/>
              </w:rPr>
              <w:t>пожаров, происшествий на водных объектах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</w:t>
            </w:r>
            <w:r>
              <w:rPr>
                <w:rFonts w:ascii="Times New Roman" w:eastAsia="Times New Roman" w:hAnsi="Times New Roman" w:cs="Times New Roman"/>
              </w:rPr>
              <w:t xml:space="preserve">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</w:t>
            </w:r>
            <w:r>
              <w:rPr>
                <w:sz w:val="22"/>
                <w:szCs w:val="22"/>
              </w:rPr>
              <w:t>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73%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13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24 — 2028 годы»</w:t>
      </w: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214"/>
        <w:gridCol w:w="594"/>
        <w:gridCol w:w="687"/>
        <w:gridCol w:w="951"/>
        <w:gridCol w:w="741"/>
        <w:gridCol w:w="700"/>
        <w:gridCol w:w="635"/>
        <w:gridCol w:w="740"/>
        <w:gridCol w:w="740"/>
        <w:gridCol w:w="687"/>
        <w:gridCol w:w="753"/>
        <w:gridCol w:w="714"/>
      </w:tblGrid>
      <w:tr w:rsidR="00000000"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Ста-тус</w:t>
            </w:r>
          </w:p>
        </w:tc>
        <w:tc>
          <w:tcPr>
            <w:tcW w:w="6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5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 числе по годам</w:t>
            </w:r>
          </w:p>
        </w:tc>
        <w:tc>
          <w:tcPr>
            <w:tcW w:w="6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94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ситуаций, пожаров, происшествий на водных объектах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обучения руководящего состава ГО городского и 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ьских поселений вопросам  ликвидации  ЧС  и обеспечения  пожарной  безопасности:</w:t>
            </w:r>
          </w:p>
          <w:p w:rsidR="00000000" w:rsidRDefault="000B03BF">
            <w:pPr>
              <w:widowControl w:val="0"/>
              <w:ind w:left="11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-расходы на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Разработка и изготовление Паспорта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безопасности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 Плана мероприятий ЧС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1-3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отработанных документов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ский муниципальный район Краснодарского края</w:t>
            </w:r>
          </w:p>
        </w:tc>
      </w:tr>
      <w:tr w:rsidR="00000000">
        <w:trPr>
          <w:trHeight w:val="21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1..2.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концентрация организационно-технических, финансовых и информационных ресурсов при решении проблемы снижени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я рисков чрезвычайных ситуаций.</w:t>
            </w:r>
          </w:p>
        </w:tc>
      </w:tr>
      <w:tr w:rsidR="00000000"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14487,4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6587,4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материальных 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пасов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14487,4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6587,4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16077,8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2200,0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16077,8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2200,0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годы»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нодарского края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6319"/>
      </w:tblGrid>
      <w:tr w:rsidR="00000000">
        <w:trPr>
          <w:trHeight w:val="2113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ами и межнациональным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2197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единой  муниципальной автоматизированной системы централизованного оповещения, обеспечивающей   реализацию   законных    прав   граждан   на  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trHeight w:val="5049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в зонах бедствий и в случаях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 возникновения чрезвычайных ситуаций;-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trHeight w:val="2092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необходимым оборудованием для 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rPr>
          <w:trHeight w:val="1542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rPr>
          <w:trHeight w:val="4754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м финансирования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32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0B03BF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Краснодарского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края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Федерального закона № 68-ФЗ от 21 декабря 1994 года   «О   защите    населения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и   территорий    от  чрезвычайных    ситуаций природного и техногенного характера» и Федерального закона от 12 февраля 1998 г. № 28-ФЗ «О гражданской обороне» по решению вопросов создания комплексной системы оповещения обеспечивающей реализацию законных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прав граждан на защиту жизни, здоровья и личного имущества в случаях возникновения чрезвычайных ситуаций.</w:t>
      </w:r>
    </w:p>
    <w:p w:rsidR="00000000" w:rsidRDefault="000B03BF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является одной из приоритетных с целью р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еализации законных прав граждан на защиту жизни, здоровья и личного имущества. </w:t>
      </w:r>
    </w:p>
    <w:p w:rsidR="00000000" w:rsidRDefault="000B03BF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оповещения населения разрабатывалась и внедрялась с учетом финансовых, технических и людских возможностей, которые на сегодняшний момент не соответствуют критер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иям времени.</w:t>
      </w:r>
    </w:p>
    <w:p w:rsidR="00000000" w:rsidRDefault="000B03BF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                             </w:t>
      </w:r>
    </w:p>
    <w:p w:rsidR="00000000" w:rsidRDefault="000B03BF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организовать оповещение населения с использованием радио и видео каналов, СМС сообщений, звуковых и речевых сигналов, а также ло</w:t>
      </w:r>
      <w:r>
        <w:rPr>
          <w:rStyle w:val="FontStyle11"/>
          <w:rFonts w:ascii="Times New Roman" w:hAnsi="Times New Roman" w:cs="Times New Roman"/>
          <w:sz w:val="28"/>
          <w:szCs w:val="28"/>
        </w:rPr>
        <w:t>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0B03BF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 кратчайшие сроки необходимо разработать и внедрить единую  муниципальную  автоматизированную систему централизованного оповещения, отвечающую современным тре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бованиям.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автоматизированной системы централизованного оповещ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0B03BF">
      <w:pPr>
        <w:widowControl w:val="0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установки необходимого оборудования для 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ганизации 100% оповещения населения в зонах бедствий и в случаях возникновения чрезвычайных ситуаций.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технических средств оповещения  и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населения об угрозе возникновения или возникновения чрезвычайных ситуаций.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 проведении эвакуационных мероприятий в чрезвычайных ситуациях и организовать их проведение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значения целевых показателей определены в приложении №1.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</w:t>
      </w:r>
      <w:r>
        <w:rPr>
          <w:rStyle w:val="FontStyle11"/>
          <w:rFonts w:ascii="Times New Roman" w:hAnsi="Times New Roman" w:cs="Times New Roman"/>
          <w:sz w:val="28"/>
          <w:szCs w:val="28"/>
        </w:rPr>
        <w:t>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608"/>
        <w:gridCol w:w="798"/>
        <w:gridCol w:w="851"/>
        <w:gridCol w:w="851"/>
        <w:gridCol w:w="865"/>
        <w:gridCol w:w="878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 (тыс.руб.)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1866"/>
        </w:trPr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3232,4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1032,0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подпрограммы производится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готовит ежегодный доклад о ходе реализации  муниципальной подпрограммы и оценке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А.В. Головин </w:t>
      </w:r>
    </w:p>
    <w:p w:rsidR="00000000" w:rsidRDefault="000B03BF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1854"/>
        <w:gridCol w:w="1288"/>
        <w:gridCol w:w="926"/>
        <w:gridCol w:w="962"/>
        <w:gridCol w:w="1143"/>
        <w:gridCol w:w="1022"/>
        <w:gridCol w:w="974"/>
        <w:gridCol w:w="1056"/>
      </w:tblGrid>
      <w:tr w:rsidR="00000000">
        <w:trPr>
          <w:cantSplit/>
        </w:trPr>
        <w:tc>
          <w:tcPr>
            <w:tcW w:w="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8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оздание  единой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</w:t>
            </w:r>
            <w:r>
              <w:rPr>
                <w:rFonts w:ascii="Times New Roman" w:hAnsi="Times New Roman" w:cs="Times New Roman"/>
              </w:rPr>
              <w:t>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специализированны</w:t>
            </w:r>
            <w:r>
              <w:rPr>
                <w:rFonts w:ascii="Times New Roman" w:hAnsi="Times New Roman" w:cs="Times New Roman"/>
              </w:rPr>
              <w:t xml:space="preserve">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</w:t>
            </w:r>
            <w:r>
              <w:rPr>
                <w:rFonts w:ascii="Times New Roman" w:hAnsi="Times New Roman" w:cs="Times New Roman"/>
              </w:rPr>
              <w:t>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1211"/>
        <w:gridCol w:w="551"/>
        <w:gridCol w:w="881"/>
        <w:gridCol w:w="984"/>
        <w:gridCol w:w="657"/>
        <w:gridCol w:w="670"/>
        <w:gridCol w:w="657"/>
        <w:gridCol w:w="655"/>
        <w:gridCol w:w="657"/>
        <w:gridCol w:w="765"/>
        <w:gridCol w:w="780"/>
        <w:gridCol w:w="796"/>
      </w:tblGrid>
      <w:tr w:rsidR="00000000">
        <w:tc>
          <w:tcPr>
            <w:tcW w:w="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2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 результат реализации меропри-я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2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805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</w:t>
            </w:r>
          </w:p>
        </w:tc>
        <w:tc>
          <w:tcPr>
            <w:tcW w:w="805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ача</w:t>
            </w:r>
          </w:p>
        </w:tc>
        <w:tc>
          <w:tcPr>
            <w:tcW w:w="805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0B03BF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своевременное оповещение  и информирование населения, с использован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возникновения или возникновения чрезвычайных ситуаций;</w:t>
            </w:r>
          </w:p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принимать решение о проведении эвакуационных мероприятий в чрезвычайных ситуациях и организовать их проведе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ние</w:t>
            </w:r>
          </w:p>
        </w:tc>
      </w:tr>
      <w:tr w:rsidR="00000000">
        <w:tc>
          <w:tcPr>
            <w:tcW w:w="37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2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необходимого оборудования для единой  муниципальной автоматизированной системы централизованного оповещения и доведения экстренной информации до населения попадающего в зоны бедствия и в случаях чрезвычайных ситуаций,</w:t>
            </w:r>
          </w:p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оворов на техническое обслуживание, установку и проведение регламентов.</w:t>
            </w:r>
          </w:p>
        </w:tc>
        <w:tc>
          <w:tcPr>
            <w:tcW w:w="5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3232,4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необходимого оборудования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арского края</w:t>
            </w: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3232,4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2732,4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2732,4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ind w:hanging="30"/>
        <w:rPr>
          <w:sz w:val="28"/>
          <w:szCs w:val="28"/>
        </w:rPr>
      </w:pPr>
    </w:p>
    <w:p w:rsidR="00000000" w:rsidRDefault="000B03BF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2"/>
        <w:gridCol w:w="6301"/>
      </w:tblGrid>
      <w:tr w:rsidR="00000000">
        <w:trPr>
          <w:trHeight w:val="2155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rPr>
          <w:trHeight w:val="2155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rPr>
          <w:trHeight w:val="3232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совершенствование системы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trHeight w:val="3401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</w:t>
            </w:r>
            <w:r>
              <w:rPr>
                <w:sz w:val="28"/>
                <w:szCs w:val="28"/>
                <w:lang w:eastAsia="ar-SA"/>
              </w:rPr>
              <w:t>го и военного времени.</w:t>
            </w:r>
          </w:p>
          <w:p w:rsidR="00000000" w:rsidRDefault="000B0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698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</w:tr>
      <w:tr w:rsidR="00000000">
        <w:trPr>
          <w:trHeight w:val="1521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rPr>
          <w:trHeight w:val="4648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Указа Президента Российской Федерации от 15 февраля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терроризма на территории муниципального образования Кореновский район, совершенствов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0B03BF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Наиболее опасными  объектами совершения терактов могут быть аварии на объектах хранения нефтепродуктов, объектах жизнеобеспе</w:t>
      </w:r>
      <w:r>
        <w:rPr>
          <w:rFonts w:eastAsia="Times New Roman"/>
          <w:sz w:val="28"/>
          <w:szCs w:val="28"/>
          <w:lang w:eastAsia="ar-SA"/>
        </w:rPr>
        <w:t xml:space="preserve">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                                        </w:t>
      </w:r>
    </w:p>
    <w:p w:rsidR="00000000" w:rsidRDefault="000B03BF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Ежесуточно по железной дороге, проходящей по территории</w:t>
      </w:r>
      <w:r>
        <w:rPr>
          <w:rFonts w:eastAsia="Times New Roman"/>
          <w:sz w:val="28"/>
          <w:szCs w:val="28"/>
          <w:lang w:eastAsia="ar-SA"/>
        </w:rPr>
        <w:t xml:space="preserve">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0B03BF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По территории района проходит федеральная автодорога М-4 «ДОН», по которой происходит перевозка нефтепродуктов, пассажиров и </w:t>
      </w:r>
      <w:r>
        <w:rPr>
          <w:rFonts w:eastAsia="Times New Roman"/>
          <w:sz w:val="28"/>
          <w:szCs w:val="28"/>
          <w:lang w:eastAsia="ar-SA"/>
        </w:rPr>
        <w:t>других различных грузов. По городу и району зарегистрировано 36 тысяч единиц транспортных средств.</w:t>
      </w:r>
    </w:p>
    <w:p w:rsidR="00000000" w:rsidRDefault="000B03BF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Краснодарского края в области профилактики те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рроризма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0B03BF">
      <w:pPr>
        <w:widowControl w:val="0"/>
        <w:jc w:val="both"/>
        <w:rPr>
          <w:rFonts w:eastAsia="Liberation Serif" w:cs="Liberation Seri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овные задачи:</w:t>
      </w:r>
    </w:p>
    <w:p w:rsidR="00000000" w:rsidRDefault="000B03BF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Повышение ответственности  руководителей  предприятий,    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нь основных мероприятий муниципальной подпрограммы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608"/>
        <w:gridCol w:w="798"/>
        <w:gridCol w:w="851"/>
        <w:gridCol w:w="851"/>
        <w:gridCol w:w="812"/>
        <w:gridCol w:w="931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Механизм реализации подпрограммы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размещает информацию о ходе реализации и достигнутых результатах  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ind w:hanging="30"/>
        <w:rPr>
          <w:sz w:val="28"/>
          <w:szCs w:val="28"/>
        </w:rPr>
      </w:pPr>
    </w:p>
    <w:p w:rsidR="00000000" w:rsidRDefault="000B03BF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1976"/>
        <w:gridCol w:w="1252"/>
        <w:gridCol w:w="816"/>
        <w:gridCol w:w="1101"/>
        <w:gridCol w:w="979"/>
        <w:gridCol w:w="1088"/>
        <w:gridCol w:w="938"/>
        <w:gridCol w:w="954"/>
      </w:tblGrid>
      <w:tr w:rsidR="00000000">
        <w:trPr>
          <w:cantSplit/>
        </w:trPr>
        <w:tc>
          <w:tcPr>
            <w:tcW w:w="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</w:t>
            </w:r>
            <w:r>
              <w:rPr>
                <w:sz w:val="22"/>
                <w:szCs w:val="22"/>
              </w:rPr>
              <w:t>ерения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9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Цель: Реализация государственной политики Российской Федерации и Краснодарского края в области профил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актики терроризма на территории Кореновского района,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Задачи: </w:t>
            </w:r>
          </w:p>
          <w:p w:rsidR="00000000" w:rsidRDefault="000B03BF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подготовка необходимых сил и средств,  а  так</w:t>
            </w:r>
            <w:r>
              <w:rPr>
                <w:sz w:val="22"/>
                <w:szCs w:val="22"/>
                <w:lang w:eastAsia="ar-SA"/>
              </w:rPr>
              <w:t>же обучение населения способам защиты в  экстремальных ситуациях мирного и военного времени.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ам муниципальной власти.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1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1374"/>
        <w:gridCol w:w="598"/>
        <w:gridCol w:w="816"/>
        <w:gridCol w:w="815"/>
        <w:gridCol w:w="654"/>
        <w:gridCol w:w="54"/>
        <w:gridCol w:w="721"/>
        <w:gridCol w:w="707"/>
        <w:gridCol w:w="54"/>
        <w:gridCol w:w="708"/>
        <w:gridCol w:w="652"/>
        <w:gridCol w:w="707"/>
        <w:gridCol w:w="721"/>
        <w:gridCol w:w="682"/>
      </w:tblGrid>
      <w:tr w:rsidR="00000000">
        <w:tc>
          <w:tcPr>
            <w:tcW w:w="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 по годам</w:t>
            </w:r>
          </w:p>
        </w:tc>
        <w:tc>
          <w:tcPr>
            <w:tcW w:w="7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889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</w:tr>
      <w:tr w:rsidR="00000000"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88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88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</w:t>
            </w:r>
            <w:r>
              <w:rPr>
                <w:sz w:val="22"/>
                <w:szCs w:val="22"/>
                <w:lang w:eastAsia="ar-SA"/>
              </w:rPr>
              <w:t>ного времени.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Обеспечение пропаганды знаний в области антитер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рористической защиты населения </w:t>
            </w:r>
          </w:p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при обнаружении подозрительных предметов, взрывных устройств:</w:t>
            </w:r>
          </w:p>
          <w:p w:rsidR="00000000" w:rsidRDefault="000B03BF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изготовление и распространение информационных листов, памяток, плакатов, буклетов, баннеров.</w:t>
            </w:r>
          </w:p>
        </w:tc>
        <w:tc>
          <w:tcPr>
            <w:tcW w:w="59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</w:t>
            </w:r>
          </w:p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тал</w:t>
            </w:r>
          </w:p>
        </w:tc>
        <w:tc>
          <w:tcPr>
            <w:tcW w:w="7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агитационного материал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372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ЖЕНИЕ №4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6319"/>
      </w:tblGrid>
      <w:tr w:rsidR="00000000">
        <w:trPr>
          <w:trHeight w:val="209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rPr>
          <w:trHeight w:val="2281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rPr>
          <w:trHeight w:val="2155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овышение эффективности деятельности по профилактике правонарушений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 укреплению правопорядка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000000">
        <w:trPr>
          <w:trHeight w:val="3697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- взаимодействие с правоохранительными органами, народными дружинами и общественными объединениями правоохранительн</w:t>
            </w:r>
            <w:r>
              <w:rPr>
                <w:color w:val="000000"/>
                <w:sz w:val="28"/>
                <w:szCs w:val="28"/>
              </w:rPr>
              <w:t>ой направленности;</w:t>
            </w:r>
          </w:p>
          <w:p w:rsidR="00000000" w:rsidRDefault="000B03BF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0B03BF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</w:tc>
      </w:tr>
      <w:tr w:rsidR="00000000">
        <w:trPr>
          <w:trHeight w:val="5430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закона от 2 апреля 2014 года № 44-ФЗ «Об участии граждан в охране общественного порядка»,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Кореновского района (чел.).</w:t>
            </w:r>
          </w:p>
          <w:p w:rsidR="00000000" w:rsidRDefault="000B03BF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наглядной агитационной продукции по профилактике правонарушений. </w:t>
            </w:r>
          </w:p>
        </w:tc>
      </w:tr>
      <w:tr w:rsidR="00000000">
        <w:trPr>
          <w:trHeight w:val="1119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</w:t>
            </w:r>
          </w:p>
          <w:p w:rsidR="00000000" w:rsidRDefault="000B03BF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Федераль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Закона Краснодарского края от 1 нояб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0B03BF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оказании содействия ОМВД России по Кореновскому району в охране общественного порядка на т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ерритории Кореновского района принимают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деятельности народных дружин в 2022 году из бюджетов поселений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>было выделено 360 000 (трист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а шестьдесят тысяч) рублей. За 12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несовершеннолетних, нарушивших требо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0B03BF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В поселениях Кореновского района созданы и работают территориальные комиссии по профилактике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На постоянной основе в районных СМИ (печатных и электронных) размещается ин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 1539-КЗ «О мерах по профилакт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ике безнадзорности и правонарушений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на территории муниципального  образования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/>
        </w:rPr>
        <w:t>К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.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заседаниях районной координационной к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 xml:space="preserve">омиссии, территориальных комиссий по профилактике правонарушений поселений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муниципального  образования 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/>
        </w:rPr>
        <w:t>К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>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0B03BF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подпрог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повышения эффективности деятельности по профилактике правонарушений и укреплению правопорядка на территории  муниципального  образования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правонарушений и укреплению правоп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0B03BF">
      <w:pPr>
        <w:widowControl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народными дружинами и общественными объединениями правоохранительной направленност</w:t>
      </w:r>
      <w:r>
        <w:rPr>
          <w:color w:val="000000"/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.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 среди населения Кореновского района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нование ресурсного обеспечения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8"/>
        <w:gridCol w:w="1075"/>
        <w:gridCol w:w="1563"/>
        <w:gridCol w:w="856"/>
        <w:gridCol w:w="802"/>
        <w:gridCol w:w="856"/>
        <w:gridCol w:w="870"/>
        <w:gridCol w:w="883"/>
      </w:tblGrid>
      <w:tr w:rsidR="00000000">
        <w:tc>
          <w:tcPr>
            <w:tcW w:w="2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583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0B03BF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0B03BF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 охран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е общественного порядка на территории  </w:t>
            </w:r>
          </w:p>
          <w:p w:rsidR="00000000" w:rsidRDefault="000B03BF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375,0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91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</w:pPr>
          </w:p>
        </w:tc>
        <w:tc>
          <w:tcPr>
            <w:tcW w:w="4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тельности по профилактике правонарушений и укреплению правопорядка на территории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 w:rsidR="00000000" w:rsidRDefault="000B03BF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</w:t>
            </w: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>Количество административных правона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Закона Краснодарского края от 28 июня 2007 года № 1267-КЗ «Об у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в охране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684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788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88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ind w:left="57" w:right="57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 Кореновского района.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Задачи</w:t>
            </w:r>
          </w:p>
        </w:tc>
        <w:tc>
          <w:tcPr>
            <w:tcW w:w="788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- взаимодействие с правоохранительными органами, </w:t>
            </w:r>
            <w:r>
              <w:rPr>
                <w:color w:val="000000"/>
                <w:sz w:val="22"/>
                <w:szCs w:val="22"/>
                <w:lang w:eastAsia="ar-SA"/>
              </w:rPr>
              <w:t>народными дружинами и общественными объединениями правоохранительной направленности.</w:t>
            </w:r>
          </w:p>
          <w:p w:rsidR="00000000" w:rsidRDefault="000B03BF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000000" w:rsidRDefault="000B03BF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- повышение уровня правового сознания и правовой культуры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реди населения Кореновского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0B03BF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наглядной агитации</w:t>
            </w: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овский муниципальный район Краснодарского края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0B03BF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наглядной агитации</w:t>
            </w:r>
          </w:p>
          <w:p w:rsidR="00000000" w:rsidRDefault="000B03BF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12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1"/>
                <w:szCs w:val="21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1"/>
                <w:szCs w:val="21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0B03BF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район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</w:t>
      </w:r>
      <w:r>
        <w:rPr>
          <w:rFonts w:ascii="Times New Roman" w:eastAsia="Times New Roman" w:hAnsi="Times New Roman" w:cs="Times New Roman"/>
          <w:sz w:val="28"/>
          <w:lang/>
        </w:rPr>
        <w:t>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2"/>
        <w:gridCol w:w="6301"/>
      </w:tblGrid>
      <w:tr w:rsidR="00000000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национальному, религиозному экстремизму и терроризму.</w:t>
            </w:r>
          </w:p>
        </w:tc>
      </w:tr>
      <w:tr w:rsidR="00000000">
        <w:trPr>
          <w:trHeight w:val="2055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sz w:val="28"/>
                <w:szCs w:val="28"/>
              </w:rPr>
              <w:t>Активизация про</w:t>
            </w:r>
            <w:r>
              <w:rPr>
                <w:sz w:val="28"/>
                <w:szCs w:val="28"/>
              </w:rPr>
              <w:t xml:space="preserve">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проявлений межнациональной розни, противодейст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вие идеологии  экстремизма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ну обращений.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0B03BF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</w:t>
      </w:r>
      <w:r>
        <w:rPr>
          <w:rFonts w:ascii="Times New Roman" w:hAnsi="Times New Roman" w:cs="Times New Roman"/>
          <w:sz w:val="28"/>
          <w:szCs w:val="28"/>
        </w:rPr>
        <w:t>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 Российской федерации от 7 мая 2012 года № 602 «Об обеспечении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терроризму,  недопущению негативных вариантов ее развития</w:t>
      </w:r>
    </w:p>
    <w:p w:rsidR="00000000" w:rsidRDefault="000B03BF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Современны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межнационального согласия и сотрудничест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0B03BF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проживают представители более 71 национальности. Несмотря на близость к очагам межнациональных конфликтов, прозрачность границ и большой процент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благодаря активной деятельности  администрац</w:t>
      </w:r>
      <w:r>
        <w:rPr>
          <w:rStyle w:val="FontStyle11"/>
          <w:rFonts w:ascii="Times New Roman" w:hAnsi="Times New Roman" w:cs="Times New Roman"/>
          <w:sz w:val="28"/>
          <w:szCs w:val="28"/>
        </w:rPr>
        <w:t>ии района, поселений по проведению этно-социального мониторинга.</w:t>
      </w:r>
    </w:p>
    <w:p w:rsidR="00000000" w:rsidRDefault="000B03BF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>2. Цели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территории Кореновского района по межэтническ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ктивизация профилактической работы,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зма в образовательных учреждениях.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ограммы приводится в табличной форме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448"/>
        <w:gridCol w:w="958"/>
        <w:gridCol w:w="798"/>
        <w:gridCol w:w="851"/>
        <w:gridCol w:w="865"/>
        <w:gridCol w:w="931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</w:t>
            </w:r>
            <w:r>
              <w:rPr>
                <w:rFonts w:ascii="Times New Roman" w:hAnsi="Times New Roman" w:cs="Times New Roman"/>
              </w:rPr>
              <w:t>нанси-рования</w:t>
            </w:r>
          </w:p>
        </w:tc>
        <w:tc>
          <w:tcPr>
            <w:tcW w:w="44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10.0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10.0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10.0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10.0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Кореновский район от 02 ноября 2023 года                   № 1921 «Об утверждении Порядка принятия решения о разработке, формирования, реализации и оценке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</w:p>
    <w:p w:rsidR="00000000" w:rsidRDefault="000B03BF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47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</w:pPr>
          </w:p>
        </w:tc>
        <w:tc>
          <w:tcPr>
            <w:tcW w:w="42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</w:t>
            </w:r>
            <w:r>
              <w:rPr>
                <w:rFonts w:eastAsia="Lucida Sans Unicode" w:cs="Tahoma"/>
                <w:lang w:eastAsia="ar-SA"/>
              </w:rPr>
              <w:t>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0B03BF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0B03BF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eastAsia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</w:t>
            </w:r>
            <w:r>
              <w:rPr>
                <w:rFonts w:eastAsia="Times New Roman"/>
                <w:lang w:eastAsia="ar-SA"/>
              </w:rPr>
              <w:t xml:space="preserve">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0B03BF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ьный район </w:t>
      </w:r>
    </w:p>
    <w:p w:rsidR="00000000" w:rsidRDefault="000B03BF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</w:pPr>
    </w:p>
    <w:p w:rsidR="00000000" w:rsidRDefault="000B03BF">
      <w:pPr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</w:p>
    <w:p w:rsidR="00000000" w:rsidRDefault="000B03BF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</w:t>
      </w:r>
      <w:r>
        <w:rPr>
          <w:rFonts w:ascii="Times New Roman" w:eastAsia="Times New Roman" w:hAnsi="Times New Roman" w:cs="Times New Roman"/>
          <w:sz w:val="28"/>
          <w:lang/>
        </w:rPr>
        <w:t>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1381"/>
        <w:gridCol w:w="547"/>
        <w:gridCol w:w="765"/>
        <w:gridCol w:w="767"/>
        <w:gridCol w:w="656"/>
        <w:gridCol w:w="670"/>
        <w:gridCol w:w="712"/>
        <w:gridCol w:w="655"/>
        <w:gridCol w:w="711"/>
        <w:gridCol w:w="711"/>
        <w:gridCol w:w="671"/>
        <w:gridCol w:w="905"/>
      </w:tblGrid>
      <w:tr w:rsidR="00000000">
        <w:tc>
          <w:tcPr>
            <w:tcW w:w="4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77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«Противодействие национальному, религиозному экстремизму и терроризму»</w:t>
            </w:r>
          </w:p>
        </w:tc>
      </w:tr>
      <w:tr w:rsidR="00000000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77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ind w:left="57" w:right="57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Реализа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     национальному, религиозному экстремизму и терроризму,  недопущению негативных вари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 xml:space="preserve">антов ее развития. </w:t>
            </w:r>
          </w:p>
        </w:tc>
      </w:tr>
      <w:tr w:rsidR="00000000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77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>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4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1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вопросам взаимодействия органов местного самоуправления с национальными объединениями:</w:t>
            </w:r>
          </w:p>
          <w:p w:rsidR="00000000" w:rsidRDefault="000B03BF">
            <w:pPr>
              <w:pStyle w:val="aa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  <w:p w:rsidR="00000000" w:rsidRDefault="000B03BF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проведение семин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аров, круглых столов, конференций, этно-социального мониторинга</w:t>
            </w:r>
          </w:p>
          <w:p w:rsidR="00000000" w:rsidRDefault="000B03BF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пособий).</w:t>
            </w:r>
          </w:p>
          <w:p w:rsidR="00000000" w:rsidRDefault="000B03BF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6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агитационных мероприятий</w:t>
            </w:r>
          </w:p>
        </w:tc>
        <w:tc>
          <w:tcPr>
            <w:tcW w:w="9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ральный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0B03BF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</w:t>
      </w:r>
      <w:r>
        <w:rPr>
          <w:rFonts w:ascii="Times New Roman" w:hAnsi="Times New Roman" w:cs="Times New Roman"/>
          <w:sz w:val="28"/>
          <w:szCs w:val="28"/>
        </w:rPr>
        <w:t xml:space="preserve"> Р Т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109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Реализация в муниципальном образовании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воспитания казачьей мол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одежи, укрепления нравственных основ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казачества;- применение и развитие самобытной культуры Кубанского казачества, образа жизни, традиций и духовных ценно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стей казаков;</w:t>
            </w:r>
          </w:p>
          <w:p w:rsidR="00000000" w:rsidRDefault="000B03BF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0B03BF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</w:p>
          <w:p w:rsidR="00000000" w:rsidRDefault="000B03BF">
            <w:pPr>
              <w:ind w:left="57" w:right="6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йдовых мероприятий</w:t>
            </w:r>
          </w:p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0B0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/>
              </w:rPr>
              <w:t xml:space="preserve"> 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Законом Краснодарского края от 9 октября 1995 года   № 15-КЗ «О реабилитации Кубанского казачества», Федер</w:t>
      </w:r>
      <w:r>
        <w:rPr>
          <w:rFonts w:ascii="Times New Roman" w:hAnsi="Times New Roman" w:cs="Times New Roman"/>
          <w:sz w:val="28"/>
          <w:szCs w:val="28"/>
        </w:rPr>
        <w:t xml:space="preserve">альным законом от 12 января 1996 года № 7-ФЗ «О некоммерческих организациях», Федеральным законом от 5 декабря 2005 года № 154-ФЗ «О государственной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иально ориентированных некоммерческих организаций, осуществляющих деятельность в Краснодарском крае».</w:t>
      </w:r>
    </w:p>
    <w:p w:rsidR="00000000" w:rsidRDefault="000B03BF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Кубанское казачество сегодня - это реальность, которая учитывается администрацией края при решении политических, социальных и экономических вопросов, а та</w:t>
      </w:r>
      <w:r>
        <w:rPr>
          <w:rFonts w:ascii="Times New Roman" w:hAnsi="Times New Roman" w:cs="Times New Roman"/>
          <w:color w:val="000000"/>
          <w:sz w:val="28"/>
          <w:szCs w:val="28"/>
        </w:rPr>
        <w:t>кже задач, направленных на повышение состояния жителей Краснодарского края.</w:t>
      </w:r>
    </w:p>
    <w:p w:rsidR="00000000" w:rsidRDefault="000B03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временном этапе решены вопросы восстановления исторической справедливости в отношении казачества, экономическог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и культурного возрождения, эффективно реализованы возможности членов казачьих обществ  по выполнению обязанностей государственной и иной службы.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Реализацию подпрограммы осуществляет Кореновское районное казачье общество во взаимодействии с первичными 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ачьими обществами, с исполнительными органами государственной власти, органами местного самоуправления, духовенством.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общество включает 1 городское, 4 станичных и 2 хуторских казачьих обществ, общей численностью 721 казаков.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реализации мероприятий подпрограммы, наряду с казаками, могут участвовать общественные организации и граждане, не состоящие в казачьих обществах.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реализации муниципально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еализация в муниципальном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государственной политики по становлению и развитию казачества, возрождению и развитию духовно-культурных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льности казачьих обществ.</w:t>
      </w:r>
    </w:p>
    <w:p w:rsidR="00000000" w:rsidRDefault="000B03BF">
      <w:pPr>
        <w:widowControl w:val="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0B03BF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казачества;</w:t>
      </w:r>
    </w:p>
    <w:p w:rsidR="00000000" w:rsidRDefault="000B03BF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0B03BF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привлечь </w:t>
      </w:r>
      <w:r>
        <w:rPr>
          <w:rFonts w:cs="Tahoma"/>
          <w:color w:val="000000"/>
          <w:sz w:val="28"/>
          <w:szCs w:val="28"/>
        </w:rPr>
        <w:t>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</w:r>
    </w:p>
    <w:p w:rsidR="00000000" w:rsidRDefault="000B03BF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</w:t>
      </w:r>
      <w:r>
        <w:rPr>
          <w:rFonts w:cs="Tahoma"/>
          <w:color w:val="000000"/>
          <w:sz w:val="28"/>
          <w:szCs w:val="28"/>
        </w:rPr>
        <w:t>тического воспитания казачьей молодежи, укрепления нравственных основ казачества;</w:t>
      </w:r>
    </w:p>
    <w:p w:rsidR="00000000" w:rsidRDefault="000B03BF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>духовному и физическому развитию казачьей молодежи в традициях Кубанского казачества;</w:t>
      </w:r>
    </w:p>
    <w:p w:rsidR="00000000" w:rsidRDefault="000B03BF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</w:t>
      </w:r>
      <w:r>
        <w:rPr>
          <w:rFonts w:cs="Tahoma"/>
          <w:color w:val="000000"/>
          <w:sz w:val="28"/>
          <w:szCs w:val="28"/>
        </w:rPr>
        <w:t>за жизни, традиций и духовных ценностей казаков;</w:t>
      </w:r>
    </w:p>
    <w:p w:rsidR="00000000" w:rsidRDefault="000B03BF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>- сохранение исторических, культурных и духовных традиций Кубанского казачества в воспитательном и образовательном процессе;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</w:t>
      </w:r>
      <w:r>
        <w:rPr>
          <w:rStyle w:val="FontStyle11"/>
          <w:rFonts w:ascii="Times New Roman" w:hAnsi="Times New Roman" w:cs="Times New Roman"/>
          <w:sz w:val="28"/>
          <w:szCs w:val="28"/>
        </w:rPr>
        <w:t>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479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55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0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4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</w:t>
      </w:r>
      <w:r>
        <w:rPr>
          <w:rFonts w:cs="Times New Roman"/>
          <w:sz w:val="28"/>
          <w:szCs w:val="28"/>
        </w:rPr>
        <w:t>одпрограммы.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реновский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 координатор муниципальной програм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участников 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реализации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0B03BF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чение безопасности  населения на территории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</w:p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8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</w:pPr>
          </w:p>
        </w:tc>
        <w:tc>
          <w:tcPr>
            <w:tcW w:w="42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</w:t>
            </w: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муниципального образован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Реализация 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государственной политики по становлению и развитию казач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шленного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0B03BF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0B03BF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создать необходимые материальные и организационные условия для </w:t>
            </w:r>
            <w:r>
              <w:rPr>
                <w:rFonts w:ascii="Times New Roman" w:hAnsi="Times New Roman" w:cs="Times New Roman"/>
                <w:color w:val="000000"/>
              </w:rPr>
              <w:t>деятельности казачьих обществ;</w:t>
            </w:r>
          </w:p>
          <w:p w:rsidR="00000000" w:rsidRDefault="000B03BF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0B03BF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</w:t>
            </w:r>
            <w:r>
              <w:rPr>
                <w:rFonts w:ascii="Times New Roman" w:hAnsi="Times New Roman" w:cs="Times New Roman"/>
                <w:color w:val="000000"/>
              </w:rPr>
              <w:t>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- применение и развитие самоб</w:t>
            </w:r>
            <w:r>
              <w:rPr>
                <w:rFonts w:ascii="Times New Roman" w:hAnsi="Times New Roman" w:cs="Times New Roman"/>
                <w:color w:val="000000"/>
              </w:rPr>
              <w:t>ытной культуры Кубанского казачества, образа жизни, традиций и духовных ценностей казаков;</w:t>
            </w:r>
          </w:p>
          <w:p w:rsidR="00000000" w:rsidRDefault="000B03BF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0B03BF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нии деятельности казачьих обществ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</w:t>
            </w:r>
            <w:r>
              <w:rPr>
                <w:rFonts w:ascii="Times New Roman" w:hAnsi="Times New Roman" w:cs="Times New Roman"/>
                <w:color w:val="000000"/>
              </w:rPr>
              <w:t xml:space="preserve">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Количество мероприятий, посвященных возрождению и развитию казачества на территории Корен</w:t>
            </w:r>
            <w:r>
              <w:rPr>
                <w:rFonts w:ascii="Times New Roman" w:hAnsi="Times New Roman" w:cs="Times New Roman"/>
                <w:color w:val="000000"/>
              </w:rPr>
              <w:t xml:space="preserve">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69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— 2028 годы»</w:t>
      </w:r>
    </w:p>
    <w:p w:rsidR="00000000" w:rsidRDefault="000B03BF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5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9"/>
        <w:gridCol w:w="1309"/>
        <w:gridCol w:w="571"/>
        <w:gridCol w:w="887"/>
        <w:gridCol w:w="803"/>
        <w:gridCol w:w="676"/>
        <w:gridCol w:w="697"/>
        <w:gridCol w:w="719"/>
        <w:gridCol w:w="802"/>
        <w:gridCol w:w="740"/>
        <w:gridCol w:w="676"/>
        <w:gridCol w:w="739"/>
        <w:gridCol w:w="560"/>
      </w:tblGrid>
      <w:tr w:rsidR="00000000">
        <w:tc>
          <w:tcPr>
            <w:tcW w:w="10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3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10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87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1099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309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870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0B03BF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создать благоприятные условия для разви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содействовать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0B03BF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применение и развитие самобытной культуры Кубанского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казачества, образа жизни, традиций и духовных ценностей казаков;</w:t>
            </w:r>
          </w:p>
          <w:p w:rsidR="00000000" w:rsidRDefault="000B03BF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0B03BF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содействие в информационном обеспечении деятельности казачьих о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  <w:t>бществ.</w:t>
            </w: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февраль-март</w:t>
            </w:r>
          </w:p>
        </w:tc>
        <w:tc>
          <w:tcPr>
            <w:tcW w:w="7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Количество меро-приятий</w:t>
            </w:r>
          </w:p>
        </w:tc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6.1.2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памяти жер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тв политических репрессий казачества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6.1.3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6.1.4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Победы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6.1.5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памяти и скорби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6.1.6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Журавские поминовения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6.1.7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Военно-полевые сборы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Август-</w:t>
            </w:r>
          </w:p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6.1.8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кубанской семьи,</w:t>
            </w:r>
          </w:p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сен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тябрь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6.1.9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Кубанского казачества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6.1.10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матери казачки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0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декабрь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6.1.11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Религиозные православные праздники,</w:t>
            </w:r>
          </w:p>
          <w:p w:rsidR="00000000" w:rsidRDefault="000B03BF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Казачьи спортивные мероприятия,</w:t>
            </w:r>
          </w:p>
          <w:p w:rsidR="00000000" w:rsidRDefault="000B03BF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Проведение казачьих обрядов,</w:t>
            </w:r>
          </w:p>
          <w:p w:rsidR="00000000" w:rsidRDefault="000B03BF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 xml:space="preserve">Слет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казачьей молодежи,</w:t>
            </w:r>
          </w:p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1-4 квартал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6.1.12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787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создать необходимые материальные и организационные условия для деятельности 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зачьих обществ;</w:t>
            </w:r>
          </w:p>
          <w:p w:rsidR="00000000" w:rsidRDefault="000B03BF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10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13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Создание условий для несе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ния службы членами районного казачьего общества</w:t>
            </w:r>
          </w:p>
        </w:tc>
        <w:tc>
          <w:tcPr>
            <w:tcW w:w="5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финансовых затрат</w:t>
            </w:r>
          </w:p>
        </w:tc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 w:rsidR="00000000">
        <w:tc>
          <w:tcPr>
            <w:tcW w:w="10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10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13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0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3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240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3220,0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240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3220,0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240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240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240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240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p w:rsidR="00000000" w:rsidRDefault="000B03BF">
      <w:pPr>
        <w:pageBreakBefore/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№7</w:t>
      </w:r>
    </w:p>
    <w:p w:rsidR="00000000" w:rsidRDefault="000B03BF">
      <w:pPr>
        <w:widowControl w:val="0"/>
        <w:ind w:left="504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одарского края</w:t>
      </w:r>
    </w:p>
    <w:p w:rsidR="00000000" w:rsidRDefault="000B03BF">
      <w:pPr>
        <w:widowControl w:val="0"/>
        <w:ind w:left="50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046"/>
      </w:tblGrid>
      <w:tr w:rsidR="00000000">
        <w:trPr>
          <w:trHeight w:val="194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охранительными органами и межнациональным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2028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141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направленных на повышение эффективности деятельности по ликвидации и предупреждению пожарной опасности.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0B03B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экстренного реагирования при пожарной опасности;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сил ликвидации противопожарной безопасности</w:t>
            </w:r>
          </w:p>
        </w:tc>
      </w:tr>
      <w:tr w:rsidR="00000000">
        <w:trPr>
          <w:trHeight w:val="678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величение численности пожарных структур</w:t>
            </w:r>
          </w:p>
        </w:tc>
      </w:tr>
      <w:tr w:rsidR="00000000">
        <w:trPr>
          <w:trHeight w:val="1415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rPr>
          <w:trHeight w:val="460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B03BF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1 918,4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0B03BF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rPr>
          <w:trHeight w:val="1474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0B03BF">
            <w:pPr>
              <w:widowControl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0B03BF">
            <w:pPr>
              <w:widowControl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</w:p>
        </w:tc>
      </w:tr>
    </w:tbl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граммы</w:t>
      </w:r>
    </w:p>
    <w:p w:rsidR="00000000" w:rsidRDefault="000B03BF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0B03BF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 22 июля 2008 г. № 123-ФЗ "Технический регламент о требованиях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аконом Краснодарс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кого края 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0B03BF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пожарные части, обеспечивающие противопожарную безопасность. В настоящее время  Новоберезанское сельское поселение Коренов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района является наиболее опасным участком в рамках пожарной опасности в виду дальнего расположения от ближайшей пожарной части. Время прибытия пожарного расчета составляет более 40 минут. Существует необходимость создания пожарного депо в Новоберезан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ском сельском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проблемы.</w:t>
      </w:r>
    </w:p>
    <w:p w:rsidR="00000000" w:rsidRDefault="000B03BF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0B03BF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этапы реализации му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0B03BF">
      <w:pPr>
        <w:jc w:val="center"/>
      </w:pP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пожарной опасности.</w:t>
      </w:r>
    </w:p>
    <w:p w:rsidR="00000000" w:rsidRDefault="000B03B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0B03BF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Развитие инфраструктуры сил противопожарной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</w:t>
      </w:r>
    </w:p>
    <w:p w:rsidR="00000000" w:rsidRDefault="000B03BF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0B03BF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0B03BF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0B03BF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0B03BF">
      <w:pPr>
        <w:ind w:hanging="15"/>
        <w:jc w:val="center"/>
      </w:pPr>
    </w:p>
    <w:p w:rsidR="00000000" w:rsidRDefault="000B03BF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</w:t>
      </w:r>
      <w:r>
        <w:rPr>
          <w:rStyle w:val="FontStyle11"/>
          <w:rFonts w:ascii="Times New Roman" w:hAnsi="Times New Roman" w:cs="Times New Roman"/>
          <w:sz w:val="28"/>
          <w:szCs w:val="28"/>
        </w:rPr>
        <w:t>орме в соответствии с приложением №2.</w:t>
      </w:r>
    </w:p>
    <w:p w:rsidR="00000000" w:rsidRDefault="000B03BF">
      <w:pPr>
        <w:ind w:firstLine="750"/>
        <w:jc w:val="both"/>
      </w:pPr>
    </w:p>
    <w:p w:rsidR="00000000" w:rsidRDefault="000B03BF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0B03BF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811"/>
        <w:gridCol w:w="845"/>
        <w:gridCol w:w="972"/>
        <w:gridCol w:w="845"/>
        <w:gridCol w:w="761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 xml:space="preserve">В том числе по </w:t>
            </w:r>
            <w:r>
              <w:rPr>
                <w:rFonts w:ascii="Times New Roman" w:hAnsi="Times New Roman" w:cs="Times New Roman"/>
              </w:rPr>
              <w:t>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</w:pP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1918,4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0B03BF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</w:t>
      </w:r>
      <w:r>
        <w:rPr>
          <w:rFonts w:cs="Times New Roman"/>
          <w:sz w:val="28"/>
          <w:szCs w:val="28"/>
        </w:rPr>
        <w:t>граммы.</w:t>
      </w:r>
    </w:p>
    <w:p w:rsidR="00000000" w:rsidRDefault="000B03BF">
      <w:pPr>
        <w:jc w:val="center"/>
        <w:rPr>
          <w:rFonts w:cs="Times New Roman"/>
          <w:sz w:val="28"/>
          <w:szCs w:val="28"/>
        </w:rPr>
      </w:pP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район».</w:t>
      </w:r>
    </w:p>
    <w:p w:rsidR="00000000" w:rsidRDefault="000B03BF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0B03BF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0B03BF">
      <w:pPr>
        <w:ind w:left="-30"/>
        <w:jc w:val="center"/>
        <w:rPr>
          <w:sz w:val="28"/>
          <w:szCs w:val="28"/>
        </w:rPr>
      </w:pPr>
    </w:p>
    <w:p w:rsidR="00000000" w:rsidRDefault="000B03BF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ее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подпрограммы и оценке эффективности её реализации;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подпрограммой.</w:t>
      </w:r>
    </w:p>
    <w:p w:rsidR="00000000" w:rsidRDefault="000B03BF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еализации муниципальных программ муниципального образования Кореновский район».</w:t>
      </w:r>
    </w:p>
    <w:p w:rsidR="00000000" w:rsidRDefault="000B03BF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0B03BF">
      <w:pPr>
        <w:ind w:firstLine="15"/>
        <w:jc w:val="center"/>
        <w:rPr>
          <w:sz w:val="28"/>
          <w:szCs w:val="28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0B03BF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«Противопожарная безопасность»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0B03BF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748"/>
        <w:gridCol w:w="908"/>
        <w:gridCol w:w="909"/>
        <w:gridCol w:w="845"/>
        <w:gridCol w:w="824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</w:t>
            </w:r>
            <w:r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  <w:trHeight w:val="970"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t>1.</w:t>
            </w:r>
          </w:p>
        </w:tc>
        <w:tc>
          <w:tcPr>
            <w:tcW w:w="91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rPr>
          <w:cantSplit/>
          <w:trHeight w:val="845"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сности.</w:t>
            </w:r>
          </w:p>
        </w:tc>
      </w:tr>
      <w:tr w:rsidR="00000000">
        <w:trPr>
          <w:cantSplit/>
          <w:trHeight w:val="909"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  <w:trHeight w:val="1077"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0B03BF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ГО и ЧС,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0B03BF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0B03BF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0B03BF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0B03BF">
      <w:pPr>
        <w:widowControl w:val="0"/>
        <w:ind w:left="5613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0B03BF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0B03BF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7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078"/>
        <w:gridCol w:w="697"/>
        <w:gridCol w:w="950"/>
        <w:gridCol w:w="845"/>
        <w:gridCol w:w="867"/>
        <w:gridCol w:w="781"/>
        <w:gridCol w:w="676"/>
        <w:gridCol w:w="698"/>
        <w:gridCol w:w="781"/>
        <w:gridCol w:w="634"/>
        <w:gridCol w:w="845"/>
        <w:gridCol w:w="777"/>
      </w:tblGrid>
      <w:tr w:rsidR="00000000"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9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8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0B03BF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0B03BF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551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55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Создание  условий,  направленных  на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повышение эффективности деятельности по ликвидации пожарной опасности.</w:t>
            </w:r>
          </w:p>
        </w:tc>
      </w:tr>
      <w:tr w:rsidR="00000000"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551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</w:p>
          <w:p w:rsidR="00000000" w:rsidRDefault="000B03BF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0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Подготовка  поверх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ности участка для устройства фундаментной плиты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000000" w:rsidRDefault="000B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  <w:sz w:val="22"/>
                <w:szCs w:val="22"/>
              </w:rPr>
              <w:t>Отдел ГО и ЧС администрации 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  <w:p w:rsidR="00000000" w:rsidRDefault="000B03BF"/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  <w:p w:rsidR="00000000" w:rsidRDefault="000B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000000" w:rsidRDefault="000B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  <w:p w:rsidR="00000000" w:rsidRDefault="000B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10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000000" w:rsidRDefault="000B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75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0B03BF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7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7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7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7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  <w:tr w:rsidR="00000000">
        <w:tc>
          <w:tcPr>
            <w:tcW w:w="175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6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8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  <w:tc>
          <w:tcPr>
            <w:tcW w:w="7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B03BF">
            <w:pPr>
              <w:snapToGrid w:val="0"/>
            </w:pPr>
          </w:p>
        </w:tc>
      </w:tr>
    </w:tbl>
    <w:p w:rsidR="00000000" w:rsidRDefault="000B03BF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ГО и ЧС,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0B03BF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азования </w:t>
      </w:r>
    </w:p>
    <w:p w:rsidR="00000000" w:rsidRDefault="000B03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0B03BF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А.В. Головин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3BF"/>
    <w:rsid w:val="000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E384FBD-0D70-4600-A3B2-7F6878C2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pacing w:val="-2"/>
      <w:sz w:val="28"/>
      <w:szCs w:val="28"/>
      <w:lang w:bidi="ar-SA"/>
    </w:rPr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23024</Words>
  <Characters>131238</Characters>
  <Application>Microsoft Office Word</Application>
  <DocSecurity>0</DocSecurity>
  <Lines>1093</Lines>
  <Paragraphs>307</Paragraphs>
  <ScaleCrop>false</ScaleCrop>
  <Company>SPecialiST RePack</Company>
  <LinksUpToDate>false</LinksUpToDate>
  <CharactersWithSpaces>153955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2025-05-28T14:20:00Z</cp:lastPrinted>
  <dcterms:created xsi:type="dcterms:W3CDTF">2025-06-10T06:01:00Z</dcterms:created>
  <dcterms:modified xsi:type="dcterms:W3CDTF">2025-06-10T06:01:00Z</dcterms:modified>
</cp:coreProperties>
</file>