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wmf" ContentType="image/x-wmf"/>
  <Override PartName="/word/media/image1.png" ContentType="image/png"/>
  <Override PartName="/word/media/image4.wmf" ContentType="image/x-wmf"/>
  <Override PartName="/word/media/image3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Style_3"/>
        <w:tblW w:w="145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8"/>
      </w:tblGrid>
      <w:tr>
        <w:trPr>
          <w:trHeight w:val="1593" w:hRule="atLeast"/>
        </w:trPr>
        <w:tc>
          <w:tcPr>
            <w:tcW w:w="14508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outlineLvl w:val="0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Обоснование начальной (максимальной) цены контракта/максимального значения цены контракта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outlineLvl w:val="0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i/>
                <w:spacing w:val="0"/>
                <w:kern w:val="0"/>
                <w:sz w:val="28"/>
                <w:szCs w:val="20"/>
              </w:rPr>
              <w:t>(в случае, если количество поставляемых товаров, объем подлежащих выполнению работ, оказанию услуг невозможно определить)</w:t>
            </w: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/начальной цены единицы товара, работы, услуги /начальной суммы цен единиц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outlineLvl w:val="0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товара, работы, 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pacing w:val="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pacing w:val="0"/>
                <w:kern w:val="0"/>
                <w:sz w:val="24"/>
                <w:szCs w:val="24"/>
              </w:rPr>
              <w:t>(при осуществлении закупок услуг</w:t>
            </w:r>
            <w:r>
              <w:rPr>
                <w:spacing w:val="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pacing w:val="0"/>
                <w:kern w:val="0"/>
                <w:sz w:val="24"/>
                <w:szCs w:val="24"/>
              </w:rPr>
              <w:t>юридических лиц с особыми уставными задачами по охране)</w:t>
            </w:r>
          </w:p>
        </w:tc>
      </w:tr>
    </w:tbl>
    <w:p>
      <w:pPr>
        <w:pStyle w:val="Normal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tbl>
      <w:tblPr>
        <w:tblStyle w:val="Style_3"/>
        <w:tblW w:w="14564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36"/>
        <w:gridCol w:w="3888"/>
        <w:gridCol w:w="5403"/>
        <w:gridCol w:w="683"/>
        <w:gridCol w:w="557"/>
        <w:gridCol w:w="542"/>
        <w:gridCol w:w="493"/>
        <w:gridCol w:w="1062"/>
      </w:tblGrid>
      <w:tr>
        <w:trPr>
          <w:trHeight w:val="300" w:hRule="atLeast"/>
        </w:trPr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Заказчик</w:t>
            </w:r>
          </w:p>
        </w:tc>
        <w:tc>
          <w:tcPr>
            <w:tcW w:w="1262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  <w:sz w:val="22"/>
              </w:rPr>
            </w:r>
          </w:p>
        </w:tc>
      </w:tr>
      <w:tr>
        <w:trPr>
          <w:trHeight w:val="900" w:hRule="atLeast"/>
        </w:trPr>
        <w:tc>
          <w:tcPr>
            <w:tcW w:w="19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Основные характеристики объекта закупки</w:t>
            </w:r>
          </w:p>
        </w:tc>
        <w:tc>
          <w:tcPr>
            <w:tcW w:w="1262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Изложены в Описании объекта закупки</w:t>
            </w:r>
          </w:p>
        </w:tc>
      </w:tr>
      <w:tr>
        <w:trPr>
          <w:trHeight w:val="1500" w:hRule="atLeast"/>
        </w:trPr>
        <w:tc>
          <w:tcPr>
            <w:tcW w:w="19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Используемый метод определения НМЦК с обоснованием - иной.</w:t>
            </w:r>
          </w:p>
        </w:tc>
        <w:tc>
          <w:tcPr>
            <w:tcW w:w="1262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В соответствии с ч.22 ст. 22 Закона № 44-ФЗ</w:t>
              <w:br/>
              <w:t>ПРИКАЗ ФЕДЕРАЛЬНОЙ СЛУЖБЫ ВОЙСК НАЦИОНАЛЬНОЙ ГВАРДИИ РОССИЙСКОЙ ФЕДЕРАЦИИ от 15 февраля 2021г. № 45 "Об утверждении порядка определения начальной (максимальной) цены контракты, цены контракта, заключаемого с единственным поставщиком (подрядчиком, исполнителем), начальная цена единицы товара, работы, услуги при осуществлении закупок охранных услуг"</w:t>
            </w:r>
          </w:p>
        </w:tc>
      </w:tr>
      <w:tr>
        <w:trPr>
          <w:trHeight w:val="300" w:hRule="atLeast"/>
        </w:trPr>
        <w:tc>
          <w:tcPr>
            <w:tcW w:w="14562" w:type="dxa"/>
            <w:gridSpan w:val="9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spacing w:val="0"/>
                <w:kern w:val="0"/>
                <w:sz w:val="22"/>
                <w:szCs w:val="20"/>
              </w:rPr>
              <w:t>Расчет произведен на основе коэффициентов и показателей, действующих на территории Краснодарского края</w:t>
            </w:r>
          </w:p>
        </w:tc>
      </w:tr>
      <w:tr>
        <w:trPr>
          <w:trHeight w:val="1425" w:hRule="atLeast"/>
        </w:trPr>
        <w:tc>
          <w:tcPr>
            <w:tcW w:w="14562" w:type="dxa"/>
            <w:gridSpan w:val="9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1. Определение НМЦК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br/>
              <w:t>Н(М)ЦК определяется по формуле: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  <w:u w:val="none"/>
              </w:rPr>
              <w:t>Н(М)ЦК = (Свохр + Стсо + Согт) * Iинфл + НДС</w:t>
            </w:r>
          </w:p>
        </w:tc>
      </w:tr>
      <w:tr>
        <w:trPr>
          <w:trHeight w:val="705" w:hRule="atLeast"/>
        </w:trPr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2"/>
                <w:szCs w:val="20"/>
              </w:rPr>
              <w:t>Константа</w:t>
            </w:r>
          </w:p>
        </w:tc>
        <w:tc>
          <w:tcPr>
            <w:tcW w:w="4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2"/>
                <w:szCs w:val="20"/>
              </w:rPr>
              <w:t>Наименование</w:t>
            </w:r>
          </w:p>
        </w:tc>
        <w:tc>
          <w:tcPr>
            <w:tcW w:w="5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2"/>
                <w:szCs w:val="20"/>
              </w:rPr>
              <w:t>Порядок расчета и/или исходные данные</w:t>
            </w:r>
          </w:p>
        </w:tc>
        <w:tc>
          <w:tcPr>
            <w:tcW w:w="227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2"/>
                <w:szCs w:val="20"/>
              </w:rPr>
              <w:t>Значение показателя (в рассчитываемый период времени)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  <w:strike/>
                <w:shd w:fill="FFD8CE" w:val="clear"/>
              </w:rPr>
            </w:pPr>
            <w:r>
              <w:rPr>
                <w:rFonts w:ascii="Times New Roman" w:hAnsi="Times New Roman"/>
                <w:b/>
                <w:strike/>
                <w:sz w:val="22"/>
                <w:shd w:fill="FFD8CE" w:val="clear"/>
              </w:rPr>
            </w:r>
          </w:p>
        </w:tc>
      </w:tr>
      <w:tr>
        <w:trPr>
          <w:trHeight w:val="416" w:hRule="atLeast"/>
        </w:trPr>
        <w:tc>
          <w:tcPr>
            <w:tcW w:w="1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0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5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585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n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Количество постов охраны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1005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Чп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Численность закрытия поста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п. 11 постановления Правительства РФ от 11 октября 2001 г.   № 743 "Об утверждении Положения о ведомственной охране министерства транспорта Российской Федерации"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  <w:strike/>
                <w:shd w:fill="FFD8CE" w:val="clear"/>
              </w:rPr>
            </w:pPr>
            <w:r>
              <w:rPr>
                <w:rFonts w:ascii="Calibri" w:hAnsi="Calibri"/>
                <w:strike/>
                <w:sz w:val="22"/>
                <w:shd w:fill="FFD8CE" w:val="clear"/>
              </w:rPr>
            </w:r>
          </w:p>
        </w:tc>
      </w:tr>
      <w:tr>
        <w:trPr>
          <w:trHeight w:val="720" w:hRule="atLeast"/>
        </w:trPr>
        <w:tc>
          <w:tcPr>
            <w:tcW w:w="179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G</w:t>
            </w:r>
          </w:p>
        </w:tc>
        <w:tc>
          <w:tcPr>
            <w:tcW w:w="4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Повышающий коэффициент стоимости круглосуточного поста при наличии дополнительных расходов</w:t>
              <w:br/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Подвижной пост на транспортном средстве исполнителя,</w:t>
              <w:br/>
              <w:t xml:space="preserve"> да - 1,5;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  <w:strike/>
                <w:shd w:fill="FFD8CE" w:val="clear"/>
              </w:rPr>
            </w:pPr>
            <w:r>
              <w:rPr>
                <w:rFonts w:ascii="Calibri" w:hAnsi="Calibri"/>
                <w:strike/>
                <w:sz w:val="22"/>
                <w:shd w:fill="FFD8CE" w:val="clear"/>
              </w:rPr>
            </w:r>
          </w:p>
        </w:tc>
      </w:tr>
      <w:tr>
        <w:trPr>
          <w:trHeight w:val="810" w:hRule="atLeast"/>
        </w:trPr>
        <w:tc>
          <w:tcPr>
            <w:tcW w:w="17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0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Оказание услуг вахтовым методом, да - 1,3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  <w:strike/>
                <w:shd w:fill="FFD8CE" w:val="clear"/>
              </w:rPr>
            </w:pPr>
            <w:r>
              <w:rPr>
                <w:rFonts w:ascii="Calibri" w:hAnsi="Calibri"/>
                <w:strike/>
                <w:sz w:val="22"/>
                <w:shd w:fill="FFD8CE" w:val="clear"/>
              </w:rPr>
            </w:r>
          </w:p>
        </w:tc>
      </w:tr>
      <w:tr>
        <w:trPr>
          <w:trHeight w:val="87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Среднемесячное количество посто-часов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2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pacing w:val="0"/>
                <w:kern w:val="0"/>
                <w:sz w:val="22"/>
                <w:szCs w:val="20"/>
                <w:u w:val="single"/>
              </w:rPr>
              <w:t xml:space="preserve">730 часов в месяц </w:t>
            </w: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(365 дней * 24 часа в сутки / 12 месяцев), в високосном году - 732 часа (366 дней * 24 часа в сутки / 12 месяцев);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72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Среднемесячная норма рабочего времени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Среднемесячная норма рабочего времени=___ часа (из производственного календаря на рассчитываемый период)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231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Iинфл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Индекс потребительских цен.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 xml:space="preserve">Сведения представлены по ссылке: https://www.economy.gov.ru/material/directions/makroec/prognozy_socialno_ekonomicheskogo_razvitiya/). В случае если расчет Н(М)ЦК и начало срока действия контракта приходятся на один год, то для этого года срока действия контракта значение Iинфл принимается равным единице 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51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НДС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Налог на добавленную стоимость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Налоговый кодекс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20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20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20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2100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ОТ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Оплата труда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Федеральный закон от 19.06.2000 № 82-ФЗ "О минимальном размере оплаты труда". Решение Краснодарской краевой трехсторонней комиссии по регулированию социально-трудовых отношений от 30.12.2021 № 11-1 "О Региональном соглашении о минимальной заработной плате в Краснодарском крае на 2022-2024 годы"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735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Заработная плата, в час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Заработная плата в час = ОТ/Среднемесячная норма рабочего времени = ___ руб/час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69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Среднемесячное кол-во ночных часов в рассчитываемый период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Согласно ТК ночное время с 22 до 6, т.е. 8 часов.</w:t>
              <w:br/>
              <w:t>Среднемесячная норма рабочего времени/24 часа*8 часов =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60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Скп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Стоимость круглосуточного поста в месяц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Скп = (Рп + Рк + П) * Чп * G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675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Рп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Прямые расходы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Рп = ФОТ + СВ + Р77-фз + Рдп / (Чп * Количество постов охраны)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675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ФОТ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Расходы на оплату труда - фонд оплаты труда (ФОТ) в месяц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ФОТ = (ОТ + Дн + Двп + Дп + Дрк) * U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1179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Дн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Доплата за работу в ночное время (не применяется в случае отсутствия режима работы поста охраны в ночное время)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 xml:space="preserve">Рассчитывается в соответствии с ПП РФ от 22.07.2008 №554. </w:t>
              <w:br/>
              <w:t>Согласно ТК ночное время с 22 до 6, т.е. 8 часов.</w:t>
              <w:br/>
              <w:t>Расчет по формуле: Дн = (20% * Заработная плата в час)*Среднемесячное кол-во ночных часов,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932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Двп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Доплата за выходные или нерабочие праздничные дни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__ часа *__ кол-во выходных и праздничных нерабочих дня (из производственного календаря рассчитываемый период)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96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Дп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Прочие доплаты и надбавки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Прочие доплаты и надбавки, компенсации, в том числе работникам, занятым на работах с вредными и (или) опасными условиями труда, которые устанавливаются в порядке, предусмотренном ст. 92, 117 и 147 ТК РФ, а также иными нормативными актами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trike/>
                <w:shd w:fill="FFD8CE" w:val="clear"/>
              </w:rPr>
            </w:pPr>
            <w:r>
              <w:rPr>
                <w:rFonts w:ascii="Times New Roman" w:hAnsi="Times New Roman"/>
                <w:strike/>
                <w:sz w:val="22"/>
                <w:shd w:fill="FFD8CE" w:val="clear"/>
              </w:rPr>
            </w:r>
          </w:p>
        </w:tc>
      </w:tr>
      <w:tr>
        <w:trPr>
          <w:trHeight w:val="750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Дрк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Районный коэффициент и процентная надбавка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Не применяется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630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U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Корректирующий коэффициент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 xml:space="preserve">U=Uб+Uд1+Uд2+Uд3+Uд4+Uд5 </w:t>
            </w:r>
            <w:r>
              <w:rPr>
                <w:rFonts w:ascii="Times New Roman" w:hAnsi="Times New Roman"/>
                <w:b/>
                <w:spacing w:val="0"/>
                <w:kern w:val="0"/>
                <w:sz w:val="22"/>
                <w:szCs w:val="20"/>
              </w:rPr>
              <w:t>(сумма Uд не может превышать 0,35)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727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Uб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Базовый коэффициент</w:t>
              <w:br/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 xml:space="preserve">базовый коэффициент </w:t>
            </w:r>
            <w:r>
              <w:rPr>
                <w:rFonts w:ascii="Times New Roman" w:hAnsi="Times New Roman"/>
                <w:b/>
                <w:spacing w:val="0"/>
                <w:kern w:val="0"/>
                <w:sz w:val="22"/>
                <w:szCs w:val="20"/>
                <w:u w:val="single"/>
              </w:rPr>
              <w:t>для 24 часового поста</w:t>
            </w: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 xml:space="preserve"> = 1;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600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Uд1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Дополнительный коэффициент</w:t>
            </w:r>
          </w:p>
        </w:tc>
        <w:tc>
          <w:tcPr>
            <w:tcW w:w="5403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наличие спецсредств у работника, да = 0,05; нет = 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540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Uд2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Дополнительный коэффициент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наличие служебного оружия у работника, да = 0,2; нет = 0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705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Uд3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Дополнительный коэффициент</w:t>
            </w:r>
          </w:p>
        </w:tc>
        <w:tc>
          <w:tcPr>
            <w:tcW w:w="5403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наличие у работника боевого, ручного, стрелкового оружия, да = 0,3; нет = 0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66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СВ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Страховые взносы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корректирующий коэффициентСВ = ФОТ * Y, гдеY ставка страховых взносов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930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Р77-фз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Расходы на исполнение требований ст. 6 Федерального закона от 14.04.1999 № 77-ФЗ "О ведомственной охране"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Р77-фз составляет 6,5% от показателя ФОТ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63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Рдп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Расходы на дополнительный персонал в месяц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в случае привлечения показатель рассчитывается в по формуле Рдп = ФОТдп + СВдп + РОдп,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63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ФОТдп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Расходы на оплату труда одного работника в месяц при привлечении дополнительного персонала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63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СВдп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Страховые взносы при привлечении дополнительного персонала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63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РОдп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Резерв на оплату отпусков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исчисляется в соответствии со статьями 114 - 116 ТК РФ, который рассчитывается по формуле: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РОдп = (ФОТдп + СВдп) / 12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63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Рк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Косвенные расходы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Рк = Рп * 20%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1380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Плановая прибыль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 xml:space="preserve">размер плановой прибыли определяется на основании итогового показателя рентабельности продукции за предшествующий год по данным ФНС России, в случае отсутствия официальных сведений по указанному показателю принимается </w:t>
            </w: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  <w:u w:val="single"/>
              </w:rPr>
              <w:t>равным 5%</w:t>
            </w: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 xml:space="preserve"> от итоговой суммы всех расходов. П = (Рк + Рп) * Размер плановой прибыли (в %)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330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2"/>
                <w:szCs w:val="20"/>
              </w:rPr>
              <w:t>Свохр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2"/>
                <w:szCs w:val="20"/>
              </w:rPr>
              <w:t>Cтоимость услуг по военизированной охране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Свохр = n * (Спч * Кпч)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300" w:hRule="atLeast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Спч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Стоимость посто-часа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Спч = Скп / Среднемесячное количество посто-часов (730)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57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Кпч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Количество посто-часов охраны (на рассчитываемый период)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Кпч = Среднемесячное количество посто-часов*Количество постов охраны * Количество месяцев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1819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Стсо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Работы по проектированию, монтажу и техническому обслуживанию технических средств охраны, мониторинг состояния объекта охраны, оборудованного действующей системой охраны и безопасности, и (или) принятие соответствующих мер реагирования на их сигнальную информацию, поступающую на пульт централизованного наблюдения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  <w:tr>
        <w:trPr>
          <w:trHeight w:val="300" w:hRule="atLeast"/>
        </w:trPr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Согт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Услуги по охране грузов при их транспортировке</w:t>
            </w:r>
          </w:p>
        </w:tc>
        <w:tc>
          <w:tcPr>
            <w:tcW w:w="5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0"/>
                <w:kern w:val="0"/>
                <w:sz w:val="22"/>
                <w:szCs w:val="20"/>
              </w:rPr>
              <w:t>─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hd w:fill="FFD8CE" w:val="clear"/>
              </w:rPr>
            </w:pPr>
            <w:r>
              <w:rPr>
                <w:rFonts w:ascii="Times New Roman" w:hAnsi="Times New Roman"/>
                <w:sz w:val="22"/>
                <w:shd w:fill="FFD8CE" w:val="clear"/>
              </w:rPr>
            </w:r>
          </w:p>
        </w:tc>
      </w:tr>
    </w:tbl>
    <w:p>
      <w:pPr>
        <w:pStyle w:val="Normal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rPr>
          <w:sz w:val="24"/>
        </w:rPr>
      </w:pPr>
      <w:r>
        <w:rPr>
          <w:b/>
          <w:sz w:val="24"/>
        </w:rPr>
        <w:t>2. В случае закупки заказчиком дополнительных услуг (работ), указанных в подпунктах 12.1 - 12.2 пункта 12 Порядка, утвержденного Приказом Росгвардии № 45, их стоимость рассчитывается для каждой услуги (работы) отдельно.</w:t>
      </w:r>
    </w:p>
    <w:p>
      <w:pPr>
        <w:pStyle w:val="Normal"/>
        <w:rPr>
          <w:sz w:val="24"/>
        </w:rPr>
      </w:pPr>
      <w:r>
        <w:rPr>
          <w:sz w:val="24"/>
        </w:rPr>
        <w:t>1) Стоимость выполнения работ по проектированию, монтажу и техническому обслуживанию технических средств охраны, мониторинг состояния объекта охраны, оборудованного действующей системой охраны и безопасности, и (или) принятие соответствующих мер реагирования на их сигнальную информацию, поступающую на пульт централизованного наблюдения (Стсо), рассчитывается по формуле:</w:t>
      </w:r>
    </w:p>
    <w:p>
      <w:pPr>
        <w:pStyle w:val="Normal"/>
        <w:rPr>
          <w:sz w:val="24"/>
        </w:rPr>
      </w:pPr>
      <w:r>
        <w:rPr>
          <w:b/>
          <w:sz w:val="24"/>
        </w:rPr>
        <w:t>Стсо = Спм + Сто * Кто + Смо * Кмо + Ср * Кр + Са</w:t>
      </w:r>
      <w:r>
        <w:rPr>
          <w:sz w:val="24"/>
        </w:rPr>
        <w:t>, где:</w:t>
      </w:r>
    </w:p>
    <w:p>
      <w:pPr>
        <w:pStyle w:val="Normal"/>
        <w:rPr>
          <w:sz w:val="24"/>
        </w:rPr>
      </w:pPr>
      <w:r>
        <w:rPr>
          <w:sz w:val="24"/>
        </w:rPr>
        <w:t>Спм - работы по проектированию и монтажу. Определяются на основании сметной стоимости монтажных и пуско-наладочных работ с учетом стоимости приборов и оборудования в соответствии с пунктом 13 Порядка, утвержденного Приказом № 45, без учета НДС (методом сопоставимых рыночных цен);</w:t>
      </w:r>
    </w:p>
    <w:p>
      <w:pPr>
        <w:pStyle w:val="Normal"/>
        <w:rPr>
          <w:sz w:val="24"/>
        </w:rPr>
      </w:pPr>
      <w:r>
        <w:rPr>
          <w:sz w:val="24"/>
        </w:rPr>
        <w:t>Сто - услуги по техническому обслуживанию. Определяются в соответствии с пунктом 13 Порядка, утвержденного Приказом № 45, без учета НДС (методом сопоставимых рыночных цен);</w:t>
      </w:r>
    </w:p>
    <w:p>
      <w:pPr>
        <w:pStyle w:val="Normal"/>
        <w:rPr>
          <w:sz w:val="24"/>
        </w:rPr>
      </w:pPr>
      <w:r>
        <w:rPr>
          <w:sz w:val="24"/>
        </w:rPr>
        <w:t>Кто - объем оказания услуг по техническому обслуживанию, предусмотренный контрактом;</w:t>
      </w:r>
    </w:p>
    <w:p>
      <w:pPr>
        <w:pStyle w:val="Normal"/>
        <w:rPr>
          <w:sz w:val="24"/>
        </w:rPr>
      </w:pPr>
      <w:r>
        <w:rPr>
          <w:sz w:val="24"/>
        </w:rPr>
        <w:t>Смо - услуги мониторинга состояния объекта охраны. Определяются в соответствии с пунктом 13 Порядка, утвержденного Приказом № 45, без учета НДС (методом сопоставимых рыночных цен);</w:t>
      </w:r>
    </w:p>
    <w:p>
      <w:pPr>
        <w:pStyle w:val="Normal"/>
        <w:rPr>
          <w:sz w:val="24"/>
        </w:rPr>
      </w:pPr>
      <w:r>
        <w:rPr>
          <w:sz w:val="24"/>
        </w:rPr>
        <w:t>Кмо - количество объектов охраны, на которые предоставляются услуги мониторинга, предусмотренные контрактом;</w:t>
      </w:r>
    </w:p>
    <w:p>
      <w:pPr>
        <w:pStyle w:val="Normal"/>
        <w:rPr>
          <w:sz w:val="24"/>
        </w:rPr>
      </w:pPr>
      <w:r>
        <w:rPr>
          <w:sz w:val="24"/>
        </w:rPr>
        <w:t>Ср - услуги по реагированию. Определяются в соответствии с пунктом 13 Порядка, утвержденного Приказом № 45, без учета НДС (методом сопоставимых рыночных цен);</w:t>
      </w:r>
    </w:p>
    <w:p>
      <w:pPr>
        <w:pStyle w:val="Normal"/>
        <w:rPr>
          <w:sz w:val="24"/>
        </w:rPr>
      </w:pPr>
      <w:r>
        <w:rPr>
          <w:sz w:val="24"/>
        </w:rPr>
        <w:t>Кр - количество объектов, на которые предоставляются услуги по реагированию, предусмотренные контрактом</w:t>
      </w:r>
    </w:p>
    <w:p>
      <w:pPr>
        <w:pStyle w:val="Normal"/>
        <w:rPr>
          <w:sz w:val="24"/>
        </w:rPr>
      </w:pPr>
      <w:r>
        <w:rPr>
          <w:sz w:val="24"/>
        </w:rPr>
        <w:t>Са - арендная плата за предоставление оборудования технических средств охраны во временное пользование, в случае если это предусмотрено контрактом. Определяется в соответствии с пунктом 13 Порядка, утвержденного Приказом № 45, без учета НДС (методом сопоставимых рыночных цен).</w:t>
      </w:r>
    </w:p>
    <w:p>
      <w:pPr>
        <w:pStyle w:val="Normal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p>
      <w:pPr>
        <w:pStyle w:val="Normal"/>
        <w:rPr>
          <w:sz w:val="24"/>
        </w:rPr>
      </w:pPr>
      <w:r>
        <w:rPr>
          <w:sz w:val="24"/>
        </w:rPr>
        <w:t>2) Охрана грузов при их транспортировке (Согт) рассчитывается по формуле:</w:t>
      </w:r>
    </w:p>
    <w:p>
      <w:pPr>
        <w:pStyle w:val="Normal"/>
        <w:rPr>
          <w:sz w:val="24"/>
        </w:rPr>
      </w:pPr>
      <w:r>
        <w:rPr>
          <w:b/>
          <w:sz w:val="24"/>
        </w:rPr>
        <w:t>Согт = (Счог * Крн + Стр * Ктр) * Кчог</w:t>
      </w:r>
      <w:r>
        <w:rPr>
          <w:sz w:val="24"/>
        </w:rPr>
        <w:t>, где:</w:t>
      </w:r>
    </w:p>
    <w:p>
      <w:pPr>
        <w:pStyle w:val="Normal"/>
        <w:rPr>
          <w:sz w:val="24"/>
        </w:rPr>
      </w:pPr>
      <w:r>
        <w:rPr>
          <w:sz w:val="24"/>
        </w:rPr>
        <w:t>Счог - стоимость одного часа охраны одним работником. Определяется в соответствии с пунктом 13 Порядка, утвержденного Приказом № 45, без учета НДС (методом сопоставимых рыночных цен);</w:t>
      </w:r>
    </w:p>
    <w:p>
      <w:pPr>
        <w:pStyle w:val="Normal"/>
        <w:rPr>
          <w:sz w:val="24"/>
        </w:rPr>
      </w:pPr>
      <w:r>
        <w:rPr>
          <w:sz w:val="24"/>
        </w:rPr>
        <w:t>Крн - количество работников в наряде сопровождения;</w:t>
      </w:r>
    </w:p>
    <w:p>
      <w:pPr>
        <w:pStyle w:val="Normal"/>
        <w:rPr>
          <w:sz w:val="24"/>
        </w:rPr>
      </w:pPr>
      <w:r>
        <w:rPr>
          <w:sz w:val="24"/>
        </w:rPr>
        <w:t>Стр - стоимость одного часа использования транспортного средства. Определяется в соответствии с пунктом 13 Порядка, утвержденного Приказом № 45, без учета НДС (методом сопоставимых рыночных цен);</w:t>
      </w:r>
    </w:p>
    <w:p>
      <w:pPr>
        <w:pStyle w:val="Normal"/>
        <w:rPr>
          <w:sz w:val="24"/>
        </w:rPr>
      </w:pPr>
      <w:r>
        <w:rPr>
          <w:sz w:val="24"/>
        </w:rPr>
        <w:t>Ктр - количество задействованных транспортных средств;</w:t>
      </w:r>
    </w:p>
    <w:p>
      <w:pPr>
        <w:pStyle w:val="Normal"/>
        <w:rPr>
          <w:sz w:val="24"/>
        </w:rPr>
      </w:pPr>
      <w:r>
        <w:rPr>
          <w:sz w:val="24"/>
        </w:rPr>
        <w:t>Кчог - количество часов охраны грузов при их транспортировке, но не менее 4 часов в сутки.</w:t>
      </w:r>
    </w:p>
    <w:p>
      <w:pPr>
        <w:pStyle w:val="Normal"/>
        <w:rPr>
          <w:sz w:val="24"/>
        </w:rPr>
      </w:pPr>
      <w:r>
        <w:rPr>
          <w:sz w:val="24"/>
        </w:rPr>
        <w:t>В случае использования при транспортировке охраняемого груза автотранспорта заказчика расчет осуществляется по формуле:</w:t>
      </w:r>
    </w:p>
    <w:p>
      <w:pPr>
        <w:pStyle w:val="Normal"/>
        <w:rPr>
          <w:sz w:val="24"/>
        </w:rPr>
      </w:pPr>
      <w:r>
        <w:rPr>
          <w:sz w:val="24"/>
        </w:rPr>
        <w:t>Согт = Счог * Крн * Кчог</w:t>
      </w:r>
    </w:p>
    <w:p>
      <w:pPr>
        <w:pStyle w:val="Normal"/>
        <w:rPr>
          <w:sz w:val="24"/>
        </w:rPr>
      </w:pPr>
      <w:r>
        <w:rPr>
          <w:sz w:val="24"/>
        </w:rPr>
        <w:t>3) В соответствии с пунктом 13 Порядка, утвержденного Приказом № 45, для получения необходимой информации заказчик направляет запросы о предоставлении информации о стоимости таких охранных услуг не менее чем трем исполнителям, оказывающим услуги, соответствующие предмету закупки, информация о которых имеется в свободном доступе, и осуществляет поиск информации о стоимости охранных услуг, соответствующих предмету закупки, в реестре контрактов, заключенных заказчиками.</w:t>
      </w:r>
    </w:p>
    <w:p>
      <w:pPr>
        <w:pStyle w:val="Normal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Коэффициент вариации цены определяется по следующей формуле:</w:t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ab/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behindDoc="0" distT="0" distB="0" distL="0" distR="0" simplePos="0" locked="0" layoutInCell="0" allowOverlap="1" relativeHeight="12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923925" cy="428625"/>
            <wp:effectExtent l="0" t="0" r="0" b="0"/>
            <wp:wrapNone/>
            <wp:docPr id="1" name="Picture 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ab/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где:</w:t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ab/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V – коэффициент вариации в %;</w:t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/>
        <w:drawing>
          <wp:inline distT="0" distB="0" distL="0" distR="0">
            <wp:extent cx="171450" cy="304800"/>
            <wp:effectExtent l="0" t="0" r="0" b="0"/>
            <wp:docPr id="2" name="Picture 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>среднеарифметическая цена единицы товара, работы, услуги;</w:t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11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266700" cy="219075"/>
            <wp:effectExtent l="0" t="0" r="0" b="0"/>
            <wp:wrapNone/>
            <wp:docPr id="3" name="Picture 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– </w:t>
      </w:r>
      <w:r>
        <w:rPr>
          <w:rFonts w:ascii="Times New Roman" w:hAnsi="Times New Roman"/>
          <w:sz w:val="24"/>
        </w:rPr>
        <w:t>среднеквадратичное отклонение, рассчитывается по формуле:</w:t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/>
        <w:drawing>
          <wp:inline distT="0" distB="0" distL="0" distR="0">
            <wp:extent cx="1743075" cy="790575"/>
            <wp:effectExtent l="0" t="0" r="0" b="0"/>
            <wp:docPr id="4" name="Picture 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7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где:</w:t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ab/>
        <w:tab/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цi - цена услуги, указанная в источнике с номером i;</w:t>
      </w:r>
    </w:p>
    <w:p>
      <w:pPr>
        <w:pStyle w:val="Normal"/>
        <w:tabs>
          <w:tab w:val="clear" w:pos="708"/>
          <w:tab w:val="left" w:pos="10308" w:leader="none"/>
        </w:tabs>
        <w:ind w:left="0" w:right="0" w:hanging="0"/>
        <w:jc w:val="left"/>
        <w:rPr>
          <w:sz w:val="24"/>
        </w:rPr>
      </w:pPr>
      <w:r>
        <w:rPr>
          <w:rFonts w:ascii="Times New Roman" w:hAnsi="Times New Roman"/>
          <w:sz w:val="24"/>
        </w:rPr>
        <w:t>n - количество значений, используемых в расчете</w:t>
      </w:r>
    </w:p>
    <w:p>
      <w:pPr>
        <w:pStyle w:val="Normal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rPr>
          <w:sz w:val="24"/>
        </w:rPr>
      </w:pPr>
      <w:r>
        <w:rPr>
          <w:i/>
          <w:sz w:val="24"/>
        </w:rPr>
        <w:t>Если закупка охранных услуг не включает в себя дополнительные услуги (работы), указанные в подпунктах 12.1 -12.2 пункта 12 Порядка, утвержденного Приказом Росгвардии № 45, то в формуле расчета Н(М)ЦК Стсо и Согт не используются.</w:t>
      </w:r>
    </w:p>
    <w:p>
      <w:pPr>
        <w:pStyle w:val="Normal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p>
      <w:pPr>
        <w:pStyle w:val="Normal"/>
        <w:ind w:left="-709" w:right="0" w:firstLine="720"/>
        <w:rPr>
          <w:sz w:val="24"/>
        </w:rPr>
      </w:pPr>
      <w:r>
        <w:rPr>
          <w:b/>
          <w:sz w:val="24"/>
        </w:rPr>
        <w:t>3. Полный расчет Н(М)ЦК с НДС и инфляцией для каждого __ часового поста (в рассчитываемый период)</w:t>
      </w:r>
      <w:r>
        <w:rPr>
          <w:sz w:val="24"/>
        </w:rPr>
        <w:t>.</w:t>
      </w:r>
    </w:p>
    <w:p>
      <w:pPr>
        <w:pStyle w:val="Normal"/>
        <w:ind w:left="-709" w:right="0" w:firstLine="7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p>
      <w:pPr>
        <w:pStyle w:val="Normal"/>
        <w:ind w:left="-709" w:right="0" w:firstLine="720"/>
        <w:rPr>
          <w:sz w:val="24"/>
        </w:rPr>
      </w:pPr>
      <w:r>
        <w:rPr>
          <w:sz w:val="24"/>
        </w:rPr>
        <w:t>Н(М)ЦК для __ часового поста (в рассчитываемый период) = руб.</w:t>
      </w:r>
    </w:p>
    <w:p>
      <w:pPr>
        <w:pStyle w:val="Normal"/>
        <w:ind w:left="-709" w:right="0" w:firstLine="7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p>
      <w:pPr>
        <w:pStyle w:val="Normal"/>
        <w:ind w:left="-709" w:right="0" w:firstLine="720"/>
        <w:rPr>
          <w:sz w:val="24"/>
        </w:rPr>
      </w:pPr>
      <w:r>
        <w:rPr>
          <w:sz w:val="24"/>
        </w:rPr>
        <w:t>Окончательная Н(М)ЦК (в рассчитываемый период) = руб.</w:t>
      </w:r>
    </w:p>
    <w:sectPr>
      <w:headerReference w:type="default" r:id="rId6"/>
      <w:type w:val="nextPage"/>
      <w:pgSz w:orient="landscape" w:w="16838" w:h="11906"/>
      <w:pgMar w:left="1134" w:right="1134" w:header="720" w:top="1701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61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9750" cy="174625"/>
              <wp:effectExtent l="0" t="0" r="0" b="0"/>
              <wp:wrapSquare wrapText="bothSides"/>
              <wp:docPr id="5" name="Врезка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2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3" stroked="f" style="position:absolute;margin-left:343pt;margin-top:0.05pt;width:42.4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6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46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79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basedOn w:val="Normal"/>
    <w:next w:val="Normal"/>
    <w:link w:val="Style_24_ch"/>
    <w:uiPriority w:val="9"/>
    <w:qFormat/>
    <w:pPr>
      <w:keepNext w:val="true"/>
      <w:keepLines/>
      <w:spacing w:before="40" w:after="0"/>
      <w:outlineLvl w:val="2"/>
    </w:pPr>
    <w:rPr>
      <w:rFonts w:ascii="Calibri Light" w:hAnsi="Calibri Light" w:asciiTheme="majorAscii" w:hAnsiTheme="majorHAnsi"/>
      <w:color w:val="1F4E79" w:themeColor="accent1" w:themeShade="7f"/>
    </w:rPr>
  </w:style>
  <w:style w:type="paragraph" w:styleId="4">
    <w:name w:val="Heading 4"/>
    <w:next w:val="Normal"/>
    <w:link w:val="Style_76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44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Annotationsubject">
    <w:name w:val="annotation subject"/>
    <w:basedOn w:val="Annotationtext"/>
    <w:link w:val="Style_12"/>
    <w:qFormat/>
    <w:rPr>
      <w:rFonts w:ascii="Times New Roman CYR" w:hAnsi="Times New Roman CYR"/>
      <w:b/>
    </w:rPr>
  </w:style>
  <w:style w:type="character" w:styleId="Contents2">
    <w:name w:val="Contents 2"/>
    <w:link w:val="Style_14"/>
    <w:qFormat/>
    <w:rPr>
      <w:rFonts w:ascii="XO Thames" w:hAnsi="XO Thames"/>
      <w:sz w:val="28"/>
    </w:rPr>
  </w:style>
  <w:style w:type="character" w:styleId="ConsPlusNormal">
    <w:name w:val="ConsPlusNormal Знак"/>
    <w:link w:val="Style_15"/>
    <w:qFormat/>
    <w:rPr>
      <w:rFonts w:ascii="Calibri" w:hAnsi="Calibri"/>
    </w:rPr>
  </w:style>
  <w:style w:type="character" w:styleId="Style9">
    <w:name w:val="Основной текст Знак"/>
    <w:basedOn w:val="DefaultParagraphFont"/>
    <w:link w:val="Style_16"/>
    <w:qFormat/>
    <w:rPr>
      <w:rFonts w:ascii="Times New Roman CYR" w:hAnsi="Times New Roman CYR"/>
      <w:sz w:val="24"/>
    </w:rPr>
  </w:style>
  <w:style w:type="character" w:styleId="Contents4">
    <w:name w:val="Contents 4"/>
    <w:link w:val="Style_18"/>
    <w:qFormat/>
    <w:rPr>
      <w:rFonts w:ascii="XO Thames" w:hAnsi="XO Thames"/>
      <w:sz w:val="28"/>
    </w:rPr>
  </w:style>
  <w:style w:type="character" w:styleId="DefaultParagraphFont">
    <w:name w:val="Default Paragraph Font"/>
    <w:link w:val="Style_17"/>
    <w:qFormat/>
    <w:rPr/>
  </w:style>
  <w:style w:type="character" w:styleId="NormalWeb">
    <w:name w:val="Normal (Web)"/>
    <w:link w:val="Style_4"/>
    <w:qFormat/>
    <w:rPr>
      <w:rFonts w:ascii="Times New Roman" w:hAnsi="Times New Roman"/>
    </w:rPr>
  </w:style>
  <w:style w:type="character" w:styleId="Contents6">
    <w:name w:val="Contents 6"/>
    <w:link w:val="Style_19"/>
    <w:qFormat/>
    <w:rPr>
      <w:rFonts w:ascii="XO Thames" w:hAnsi="XO Thames"/>
      <w:sz w:val="28"/>
    </w:rPr>
  </w:style>
  <w:style w:type="character" w:styleId="Contents7">
    <w:name w:val="Contents 7"/>
    <w:link w:val="Style_20"/>
    <w:qFormat/>
    <w:rPr>
      <w:rFonts w:ascii="XO Thames" w:hAnsi="XO Thames"/>
      <w:sz w:val="28"/>
    </w:rPr>
  </w:style>
  <w:style w:type="character" w:styleId="Style10">
    <w:name w:val="Нормальный (таблица)"/>
    <w:link w:val="Style_6"/>
    <w:qFormat/>
    <w:rPr/>
  </w:style>
  <w:style w:type="character" w:styleId="Style11">
    <w:name w:val="Гипертекстовая ссылка"/>
    <w:link w:val="Style_21"/>
    <w:qFormat/>
    <w:rPr>
      <w:b w:val="false"/>
      <w:color w:val="106BBE"/>
    </w:rPr>
  </w:style>
  <w:style w:type="character" w:styleId="Endnote">
    <w:name w:val="Endnote"/>
    <w:link w:val="Style_22"/>
    <w:qFormat/>
    <w:rPr>
      <w:sz w:val="20"/>
    </w:rPr>
  </w:style>
  <w:style w:type="character" w:styleId="Annotationtext">
    <w:name w:val="annotation text"/>
    <w:link w:val="Style_13"/>
    <w:qFormat/>
    <w:rPr>
      <w:rFonts w:ascii="Calibri" w:hAnsi="Calibri"/>
      <w:sz w:val="20"/>
    </w:rPr>
  </w:style>
  <w:style w:type="character" w:styleId="Style12">
    <w:name w:val="Текст (справка)"/>
    <w:link w:val="Style_23"/>
    <w:qFormat/>
    <w:rPr/>
  </w:style>
  <w:style w:type="character" w:styleId="Heading3">
    <w:name w:val="Heading 3"/>
    <w:link w:val="Style_24"/>
    <w:qFormat/>
    <w:rPr>
      <w:rFonts w:ascii="Calibri Light" w:hAnsi="Calibri Light" w:asciiTheme="majorAscii" w:hAnsiTheme="majorHAnsi"/>
      <w:color w:val="1F4E79" w:themeColor="accent1" w:themeShade="7f"/>
    </w:rPr>
  </w:style>
  <w:style w:type="character" w:styleId="Textbodyindent">
    <w:name w:val="Text body indent"/>
    <w:link w:val="Style_25"/>
    <w:qFormat/>
    <w:rPr>
      <w:rFonts w:ascii="Times New Roman" w:hAnsi="Times New Roman"/>
    </w:rPr>
  </w:style>
  <w:style w:type="character" w:styleId="Style13">
    <w:name w:val="Текст информации об изменениях"/>
    <w:link w:val="Style_26"/>
    <w:qFormat/>
    <w:rPr>
      <w:color w:val="353842"/>
      <w:sz w:val="20"/>
    </w:rPr>
  </w:style>
  <w:style w:type="character" w:styleId="Style14">
    <w:name w:val="Основной текст с отступом Знак"/>
    <w:basedOn w:val="DefaultParagraphFont"/>
    <w:link w:val="Style_27"/>
    <w:qFormat/>
    <w:rPr>
      <w:rFonts w:ascii="Times New Roman" w:hAnsi="Times New Roman"/>
      <w:sz w:val="24"/>
    </w:rPr>
  </w:style>
  <w:style w:type="character" w:styleId="Style15">
    <w:name w:val="Заголовок"/>
    <w:link w:val="Style_28"/>
    <w:qFormat/>
    <w:rPr>
      <w:rFonts w:ascii="Liberation Sans" w:hAnsi="Liberation Sans"/>
      <w:sz w:val="28"/>
    </w:rPr>
  </w:style>
  <w:style w:type="character" w:styleId="Style16">
    <w:name w:val="Информация о версии"/>
    <w:basedOn w:val="Style30"/>
    <w:link w:val="Style_30"/>
    <w:qFormat/>
    <w:rPr>
      <w:i/>
    </w:rPr>
  </w:style>
  <w:style w:type="character" w:styleId="List">
    <w:name w:val="List"/>
    <w:basedOn w:val="Textbody"/>
    <w:link w:val="Style_32"/>
    <w:qFormat/>
    <w:rPr/>
  </w:style>
  <w:style w:type="character" w:styleId="Style17">
    <w:name w:val="Прижатый влево"/>
    <w:link w:val="Style_5"/>
    <w:qFormat/>
    <w:rPr/>
  </w:style>
  <w:style w:type="character" w:styleId="Style18">
    <w:name w:val="Верхний колонтитул Знак"/>
    <w:basedOn w:val="DefaultParagraphFont"/>
    <w:link w:val="Style_33"/>
    <w:qFormat/>
    <w:rPr>
      <w:rFonts w:ascii="Times New Roman CYR" w:hAnsi="Times New Roman CYR"/>
      <w:sz w:val="24"/>
    </w:rPr>
  </w:style>
  <w:style w:type="character" w:styleId="Style19">
    <w:name w:val="Цветовое выделение для Текст"/>
    <w:link w:val="Style_34"/>
    <w:qFormat/>
    <w:rPr>
      <w:rFonts w:ascii="Times New Roman CYR" w:hAnsi="Times New Roman CYR"/>
    </w:rPr>
  </w:style>
  <w:style w:type="character" w:styleId="11">
    <w:name w:val="Без интервала1"/>
    <w:link w:val="Style_35"/>
    <w:qFormat/>
    <w:rPr>
      <w:rFonts w:ascii="Calibri" w:hAnsi="Calibri" w:asciiTheme="minorAscii" w:hAnsiTheme="minorHAnsi"/>
      <w:color w:val="000000"/>
      <w:sz w:val="22"/>
    </w:rPr>
  </w:style>
  <w:style w:type="character" w:styleId="Footer">
    <w:name w:val="Footer"/>
    <w:link w:val="Style_36"/>
    <w:qFormat/>
    <w:rPr/>
  </w:style>
  <w:style w:type="character" w:styleId="21">
    <w:name w:val="Название Знак2"/>
    <w:basedOn w:val="DefaultParagraphFont"/>
    <w:link w:val="Style_37"/>
    <w:qFormat/>
    <w:rPr>
      <w:rFonts w:ascii="Times New Roman CYR" w:hAnsi="Times New Roman CYR"/>
      <w:b/>
      <w:color w:val="26282F"/>
      <w:sz w:val="24"/>
    </w:rPr>
  </w:style>
  <w:style w:type="character" w:styleId="Indexheading">
    <w:name w:val="index heading"/>
    <w:link w:val="Style_38"/>
    <w:qFormat/>
    <w:rPr/>
  </w:style>
  <w:style w:type="character" w:styleId="Contents3">
    <w:name w:val="Contents 3"/>
    <w:link w:val="Style_39"/>
    <w:qFormat/>
    <w:rPr>
      <w:rFonts w:ascii="XO Thames" w:hAnsi="XO Thames"/>
      <w:sz w:val="28"/>
    </w:rPr>
  </w:style>
  <w:style w:type="character" w:styleId="Style20">
    <w:name w:val="Верхний и нижний колонтитулы"/>
    <w:link w:val="Style_40"/>
    <w:qFormat/>
    <w:rPr/>
  </w:style>
  <w:style w:type="character" w:styleId="Style21">
    <w:name w:val="Текст примечания Знак"/>
    <w:basedOn w:val="DefaultParagraphFont"/>
    <w:link w:val="Style_41"/>
    <w:qFormat/>
    <w:rPr>
      <w:rFonts w:ascii="Calibri" w:hAnsi="Calibri"/>
      <w:sz w:val="20"/>
    </w:rPr>
  </w:style>
  <w:style w:type="character" w:styleId="Annotationreference">
    <w:name w:val="annotation reference"/>
    <w:link w:val="Style_42"/>
    <w:qFormat/>
    <w:rPr>
      <w:sz w:val="16"/>
    </w:rPr>
  </w:style>
  <w:style w:type="character" w:styleId="12">
    <w:name w:val="Название Знак1"/>
    <w:basedOn w:val="DefaultParagraphFont"/>
    <w:link w:val="Style_43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2">
    <w:name w:val="Таблицы (моноширинный)"/>
    <w:link w:val="Style_8"/>
    <w:qFormat/>
    <w:rPr>
      <w:rFonts w:ascii="Courier New" w:hAnsi="Courier New"/>
    </w:rPr>
  </w:style>
  <w:style w:type="character" w:styleId="ListParagraph">
    <w:name w:val="List Paragraph"/>
    <w:link w:val="Style_11"/>
    <w:qFormat/>
    <w:rPr/>
  </w:style>
  <w:style w:type="character" w:styleId="Heading5">
    <w:name w:val="Heading 5"/>
    <w:link w:val="Style_44"/>
    <w:qFormat/>
    <w:rPr>
      <w:rFonts w:ascii="XO Thames" w:hAnsi="XO Thames"/>
      <w:b/>
      <w:sz w:val="22"/>
    </w:rPr>
  </w:style>
  <w:style w:type="character" w:styleId="ConsPlusTitle">
    <w:name w:val="ConsPlusTitle"/>
    <w:link w:val="Style_45"/>
    <w:qFormat/>
    <w:rPr>
      <w:rFonts w:ascii="Arial" w:hAnsi="Arial"/>
      <w:b/>
      <w:color w:val="000000"/>
      <w:sz w:val="24"/>
    </w:rPr>
  </w:style>
  <w:style w:type="character" w:styleId="Heading1">
    <w:name w:val="Heading 1"/>
    <w:link w:val="Style_46"/>
    <w:qFormat/>
    <w:rPr>
      <w:b/>
      <w:color w:val="26282F"/>
    </w:rPr>
  </w:style>
  <w:style w:type="character" w:styleId="Style23">
    <w:name w:val="Текст выноски Знак"/>
    <w:basedOn w:val="DefaultParagraphFont"/>
    <w:link w:val="Style_47"/>
    <w:qFormat/>
    <w:rPr>
      <w:rFonts w:ascii="Segoe UI" w:hAnsi="Segoe UI"/>
      <w:sz w:val="18"/>
    </w:rPr>
  </w:style>
  <w:style w:type="character" w:styleId="Header">
    <w:name w:val="Header"/>
    <w:link w:val="Style_1"/>
    <w:qFormat/>
    <w:rPr/>
  </w:style>
  <w:style w:type="character" w:styleId="ConsPlusNonformat">
    <w:name w:val="ConsPlusNonformat"/>
    <w:link w:val="Style_7"/>
    <w:qFormat/>
    <w:rPr>
      <w:rFonts w:ascii="Courier New" w:hAnsi="Courier New"/>
      <w:color w:val="000000"/>
      <w:sz w:val="20"/>
    </w:rPr>
  </w:style>
  <w:style w:type="character" w:styleId="Style24">
    <w:name w:val="Интернет-ссылка"/>
    <w:link w:val="Style_53"/>
    <w:rPr>
      <w:color w:val="0563C1"/>
      <w:u w:val="single"/>
    </w:rPr>
  </w:style>
  <w:style w:type="character" w:styleId="Footnote">
    <w:name w:val="Footnote"/>
    <w:link w:val="Style_49"/>
    <w:qFormat/>
    <w:rPr>
      <w:sz w:val="20"/>
    </w:rPr>
  </w:style>
  <w:style w:type="character" w:styleId="Style25">
    <w:name w:val="Тема примечания Знак"/>
    <w:basedOn w:val="Style21"/>
    <w:link w:val="Style_50"/>
    <w:qFormat/>
    <w:rPr>
      <w:rFonts w:ascii="Times New Roman CYR" w:hAnsi="Times New Roman CYR"/>
      <w:b/>
      <w:sz w:val="20"/>
    </w:rPr>
  </w:style>
  <w:style w:type="character" w:styleId="Contents1">
    <w:name w:val="Contents 1"/>
    <w:link w:val="Style_51"/>
    <w:qFormat/>
    <w:rPr>
      <w:rFonts w:ascii="XO Thames" w:hAnsi="XO Thames"/>
      <w:b/>
      <w:sz w:val="28"/>
    </w:rPr>
  </w:style>
  <w:style w:type="character" w:styleId="Style26">
    <w:name w:val="Привязка сноски"/>
    <w:link w:val="Style_52"/>
    <w:rPr>
      <w:vertAlign w:val="superscript"/>
    </w:rPr>
  </w:style>
  <w:style w:type="character" w:styleId="ConsPlusNormal1">
    <w:name w:val="ConsPlusNormal"/>
    <w:link w:val="Style_9"/>
    <w:qFormat/>
    <w:rPr>
      <w:rFonts w:ascii="Calibri" w:hAnsi="Calibri" w:asciiTheme="minorAscii" w:hAnsiTheme="minorHAnsi"/>
      <w:color w:val="000000"/>
      <w:sz w:val="22"/>
    </w:rPr>
  </w:style>
  <w:style w:type="character" w:styleId="HeaderandFooter">
    <w:name w:val="Header and Footer"/>
    <w:link w:val="Style_54"/>
    <w:qFormat/>
    <w:rPr>
      <w:rFonts w:ascii="XO Thames" w:hAnsi="XO Thames"/>
      <w:sz w:val="20"/>
    </w:rPr>
  </w:style>
  <w:style w:type="character" w:styleId="UnresolvedMention">
    <w:name w:val="Unresolved Mention"/>
    <w:link w:val="Style_55"/>
    <w:qFormat/>
    <w:rPr>
      <w:color w:val="605E5C"/>
      <w:shd w:fill="E1DFDD" w:val="clear"/>
    </w:rPr>
  </w:style>
  <w:style w:type="character" w:styleId="Style27">
    <w:name w:val="Указатель"/>
    <w:link w:val="Style_56"/>
    <w:qFormat/>
    <w:rPr/>
  </w:style>
  <w:style w:type="character" w:styleId="EndnoteCharacters">
    <w:name w:val="Endnote Characters"/>
    <w:link w:val="Style_57"/>
    <w:qFormat/>
    <w:rPr>
      <w:vertAlign w:val="superscript"/>
    </w:rPr>
  </w:style>
  <w:style w:type="character" w:styleId="Style28">
    <w:name w:val="Текст концевой сноски Знак"/>
    <w:basedOn w:val="DefaultParagraphFont"/>
    <w:link w:val="Style_58"/>
    <w:qFormat/>
    <w:rPr>
      <w:rFonts w:ascii="Times New Roman CYR" w:hAnsi="Times New Roman CYR"/>
      <w:sz w:val="20"/>
    </w:rPr>
  </w:style>
  <w:style w:type="character" w:styleId="Contents9">
    <w:name w:val="Contents 9"/>
    <w:link w:val="Style_59"/>
    <w:qFormat/>
    <w:rPr>
      <w:rFonts w:ascii="XO Thames" w:hAnsi="XO Thames"/>
      <w:sz w:val="28"/>
    </w:rPr>
  </w:style>
  <w:style w:type="character" w:styleId="NoSpacing">
    <w:name w:val="No Spacing"/>
    <w:link w:val="Style_60"/>
    <w:qFormat/>
    <w:rPr>
      <w:rFonts w:ascii="Calibri" w:hAnsi="Calibri" w:asciiTheme="minorAscii" w:hAnsiTheme="minorHAnsi"/>
      <w:color w:val="000000"/>
      <w:sz w:val="22"/>
    </w:rPr>
  </w:style>
  <w:style w:type="character" w:styleId="Textbody">
    <w:name w:val="Text body"/>
    <w:link w:val="Style_29"/>
    <w:qFormat/>
    <w:rPr/>
  </w:style>
  <w:style w:type="character" w:styleId="Contents8">
    <w:name w:val="Contents 8"/>
    <w:link w:val="Style_61"/>
    <w:qFormat/>
    <w:rPr>
      <w:rFonts w:ascii="XO Thames" w:hAnsi="XO Thames"/>
      <w:sz w:val="28"/>
    </w:rPr>
  </w:style>
  <w:style w:type="character" w:styleId="31">
    <w:name w:val="Заголовок 3 Знак"/>
    <w:basedOn w:val="DefaultParagraphFont"/>
    <w:link w:val="Style_62"/>
    <w:qFormat/>
    <w:rPr>
      <w:rFonts w:ascii="Calibri Light" w:hAnsi="Calibri Light" w:asciiTheme="majorAscii" w:hAnsiTheme="majorHAnsi"/>
      <w:color w:val="1F4E79" w:themeColor="accent1" w:themeShade="7f"/>
      <w:sz w:val="24"/>
    </w:rPr>
  </w:style>
  <w:style w:type="character" w:styleId="Style29">
    <w:name w:val="Нижний колонтитул Знак"/>
    <w:basedOn w:val="DefaultParagraphFont"/>
    <w:link w:val="Style_63"/>
    <w:qFormat/>
    <w:rPr>
      <w:rFonts w:ascii="Times New Roman CYR" w:hAnsi="Times New Roman CYR"/>
      <w:sz w:val="24"/>
    </w:rPr>
  </w:style>
  <w:style w:type="character" w:styleId="Style30">
    <w:name w:val="Комментарий"/>
    <w:basedOn w:val="Style12"/>
    <w:link w:val="Style_31"/>
    <w:qFormat/>
    <w:rPr>
      <w:color w:val="353842"/>
    </w:rPr>
  </w:style>
  <w:style w:type="character" w:styleId="Style31">
    <w:name w:val="Привязка концевой сноски"/>
    <w:link w:val="Style_64"/>
    <w:rPr>
      <w:vertAlign w:val="superscript"/>
    </w:rPr>
  </w:style>
  <w:style w:type="character" w:styleId="FootnoteCharacters">
    <w:name w:val="Footnote Characters"/>
    <w:link w:val="Style_65"/>
    <w:qFormat/>
    <w:rPr>
      <w:vertAlign w:val="superscript"/>
    </w:rPr>
  </w:style>
  <w:style w:type="character" w:styleId="Style32">
    <w:name w:val="Посещённая гиперссылка"/>
    <w:link w:val="Style_66"/>
    <w:rPr>
      <w:color w:val="954F72"/>
      <w:u w:val="single"/>
    </w:rPr>
  </w:style>
  <w:style w:type="character" w:styleId="Contents5">
    <w:name w:val="Contents 5"/>
    <w:link w:val="Style_67"/>
    <w:qFormat/>
    <w:rPr>
      <w:rFonts w:ascii="XO Thames" w:hAnsi="XO Thames"/>
      <w:sz w:val="28"/>
    </w:rPr>
  </w:style>
  <w:style w:type="character" w:styleId="Caption">
    <w:name w:val="caption"/>
    <w:link w:val="Style_68"/>
    <w:qFormat/>
    <w:rPr>
      <w:i/>
    </w:rPr>
  </w:style>
  <w:style w:type="character" w:styleId="Style33">
    <w:name w:val="Цветовое выделение"/>
    <w:link w:val="Style_10"/>
    <w:qFormat/>
    <w:rPr>
      <w:b/>
      <w:color w:val="26282F"/>
    </w:rPr>
  </w:style>
  <w:style w:type="character" w:styleId="Style34">
    <w:name w:val="Содержимое врезки"/>
    <w:link w:val="Style_69"/>
    <w:qFormat/>
    <w:rPr/>
  </w:style>
  <w:style w:type="character" w:styleId="Style35">
    <w:name w:val="Название Знак"/>
    <w:link w:val="Style_70"/>
    <w:qFormat/>
    <w:rPr>
      <w:rFonts w:ascii="Cambria" w:hAnsi="Cambria"/>
      <w:b/>
      <w:sz w:val="32"/>
    </w:rPr>
  </w:style>
  <w:style w:type="character" w:styleId="Style36">
    <w:name w:val="Подзаголовок для информации об изменениях"/>
    <w:basedOn w:val="Style13"/>
    <w:link w:val="Style_71"/>
    <w:qFormat/>
    <w:rPr>
      <w:b/>
    </w:rPr>
  </w:style>
  <w:style w:type="character" w:styleId="Linenumber">
    <w:name w:val="line number"/>
    <w:link w:val="Style_72"/>
    <w:qFormat/>
    <w:rPr/>
  </w:style>
  <w:style w:type="character" w:styleId="Subtitle">
    <w:name w:val="Subtitle"/>
    <w:link w:val="Style_73"/>
    <w:qFormat/>
    <w:rPr>
      <w:rFonts w:ascii="XO Thames" w:hAnsi="XO Thames"/>
      <w:i/>
      <w:sz w:val="24"/>
    </w:rPr>
  </w:style>
  <w:style w:type="character" w:styleId="Style37">
    <w:name w:val="Текст сноски Знак"/>
    <w:basedOn w:val="DefaultParagraphFont"/>
    <w:link w:val="Style_74"/>
    <w:qFormat/>
    <w:rPr>
      <w:rFonts w:ascii="Times New Roman CYR" w:hAnsi="Times New Roman CYR"/>
      <w:sz w:val="20"/>
    </w:rPr>
  </w:style>
  <w:style w:type="character" w:styleId="Title">
    <w:name w:val="Title"/>
    <w:link w:val="Style_75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4">
    <w:name w:val="Heading 4"/>
    <w:link w:val="Style_76"/>
    <w:qFormat/>
    <w:rPr>
      <w:rFonts w:ascii="XO Thames" w:hAnsi="XO Thames"/>
      <w:b/>
      <w:sz w:val="24"/>
    </w:rPr>
  </w:style>
  <w:style w:type="character" w:styleId="BalloonText">
    <w:name w:val="Balloon Text"/>
    <w:link w:val="Style_77"/>
    <w:qFormat/>
    <w:rPr>
      <w:rFonts w:ascii="Segoe UI" w:hAnsi="Segoe UI"/>
      <w:sz w:val="18"/>
    </w:rPr>
  </w:style>
  <w:style w:type="character" w:styleId="Style38">
    <w:name w:val="Информация об изменениях"/>
    <w:basedOn w:val="Style13"/>
    <w:link w:val="Style_78"/>
    <w:qFormat/>
    <w:rPr/>
  </w:style>
  <w:style w:type="character" w:styleId="Heading2">
    <w:name w:val="Heading 2"/>
    <w:link w:val="Style_79"/>
    <w:qFormat/>
    <w:rPr>
      <w:rFonts w:ascii="XO Thames" w:hAnsi="XO Thames"/>
      <w:b/>
      <w:sz w:val="28"/>
    </w:rPr>
  </w:style>
  <w:style w:type="character" w:styleId="Caption1">
    <w:name w:val="Caption"/>
    <w:link w:val="Style_80"/>
    <w:qFormat/>
    <w:rPr>
      <w:i/>
      <w:sz w:val="24"/>
    </w:rPr>
  </w:style>
  <w:style w:type="paragraph" w:styleId="Style39">
    <w:name w:val="Заголовок"/>
    <w:basedOn w:val="Normal"/>
    <w:next w:val="Style40"/>
    <w:link w:val="Style_28_ch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40">
    <w:name w:val="Body Text"/>
    <w:basedOn w:val="Normal"/>
    <w:link w:val="Style_29_ch"/>
    <w:pPr>
      <w:spacing w:before="0" w:after="120"/>
    </w:pPr>
    <w:rPr/>
  </w:style>
  <w:style w:type="paragraph" w:styleId="Style41">
    <w:name w:val="List"/>
    <w:basedOn w:val="Style40"/>
    <w:link w:val="Style_32_ch"/>
    <w:pPr/>
    <w:rPr/>
  </w:style>
  <w:style w:type="paragraph" w:styleId="Style42">
    <w:name w:val="Caption"/>
    <w:basedOn w:val="Normal"/>
    <w:link w:val="Style_80_ch"/>
    <w:qFormat/>
    <w:pPr>
      <w:spacing w:before="120" w:after="120"/>
    </w:pPr>
    <w:rPr>
      <w:i/>
      <w:sz w:val="24"/>
    </w:rPr>
  </w:style>
  <w:style w:type="paragraph" w:styleId="Style43">
    <w:name w:val="Указатель"/>
    <w:basedOn w:val="Normal"/>
    <w:link w:val="Style_56_ch"/>
    <w:qFormat/>
    <w:pPr/>
    <w:rPr/>
  </w:style>
  <w:style w:type="paragraph" w:styleId="Annotationsubject1">
    <w:name w:val="annotation subject"/>
    <w:basedOn w:val="Annotationtext1"/>
    <w:next w:val="Annotationtext1"/>
    <w:link w:val="Style_12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22">
    <w:name w:val="TOC 2"/>
    <w:next w:val="Normal"/>
    <w:link w:val="Style_14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2">
    <w:name w:val="ConsPlusNormal Знак"/>
    <w:link w:val="Style_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44">
    <w:name w:val="Основной текст Знак"/>
    <w:basedOn w:val="DefaultParagraphFont1"/>
    <w:link w:val="Style_16_ch"/>
    <w:qFormat/>
    <w:pPr/>
    <w:rPr>
      <w:rFonts w:ascii="Times New Roman CYR" w:hAnsi="Times New Roman CYR"/>
      <w:sz w:val="24"/>
    </w:rPr>
  </w:style>
  <w:style w:type="paragraph" w:styleId="41">
    <w:name w:val="TOC 4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Style_1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NormalWeb1">
    <w:name w:val="Normal (Web)"/>
    <w:basedOn w:val="Normal"/>
    <w:link w:val="Style_4_ch"/>
    <w:qFormat/>
    <w:pPr>
      <w:widowControl/>
      <w:spacing w:beforeAutospacing="1" w:afterAutospacing="1"/>
      <w:ind w:left="0" w:right="0" w:hanging="0"/>
      <w:jc w:val="left"/>
    </w:pPr>
    <w:rPr>
      <w:rFonts w:ascii="Times New Roman" w:hAnsi="Times New Roman"/>
    </w:rPr>
  </w:style>
  <w:style w:type="paragraph" w:styleId="6">
    <w:name w:val="TOC 6"/>
    <w:next w:val="Normal"/>
    <w:link w:val="Style_19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20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5">
    <w:name w:val="Нормальный (таблица)"/>
    <w:basedOn w:val="Normal"/>
    <w:next w:val="Normal"/>
    <w:link w:val="Style_6_ch"/>
    <w:qFormat/>
    <w:pPr>
      <w:ind w:left="0" w:right="0" w:hanging="0"/>
    </w:pPr>
    <w:rPr/>
  </w:style>
  <w:style w:type="paragraph" w:styleId="Style46">
    <w:name w:val="Гипертекстовая ссылка"/>
    <w:link w:val="Style_2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2"/>
      <w:szCs w:val="20"/>
      <w:lang w:val="ru-RU" w:eastAsia="zh-CN" w:bidi="hi-IN"/>
    </w:rPr>
  </w:style>
  <w:style w:type="paragraph" w:styleId="Style47">
    <w:name w:val="Endnote Text"/>
    <w:basedOn w:val="Normal"/>
    <w:link w:val="Style_22_ch"/>
    <w:pPr/>
    <w:rPr>
      <w:sz w:val="20"/>
    </w:rPr>
  </w:style>
  <w:style w:type="paragraph" w:styleId="Annotationtext1">
    <w:name w:val="annotation text"/>
    <w:basedOn w:val="Normal"/>
    <w:link w:val="Style_13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Style48">
    <w:name w:val="Текст (справка)"/>
    <w:basedOn w:val="Normal"/>
    <w:next w:val="Normal"/>
    <w:link w:val="Style_23_ch"/>
    <w:qFormat/>
    <w:pPr>
      <w:ind w:left="170" w:right="170" w:hanging="0"/>
      <w:jc w:val="left"/>
    </w:pPr>
    <w:rPr/>
  </w:style>
  <w:style w:type="paragraph" w:styleId="Style49">
    <w:name w:val="Body Text Indent"/>
    <w:basedOn w:val="Normal"/>
    <w:link w:val="Style_25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Style50">
    <w:name w:val="Текст информации об изменениях"/>
    <w:basedOn w:val="Normal"/>
    <w:next w:val="Normal"/>
    <w:link w:val="Style_26_ch"/>
    <w:qFormat/>
    <w:pPr/>
    <w:rPr>
      <w:color w:val="353842"/>
      <w:sz w:val="20"/>
    </w:rPr>
  </w:style>
  <w:style w:type="paragraph" w:styleId="Style51">
    <w:name w:val="Основной текст с отступом Знак"/>
    <w:basedOn w:val="DefaultParagraphFont1"/>
    <w:link w:val="Style_27_ch"/>
    <w:qFormat/>
    <w:pPr/>
    <w:rPr>
      <w:rFonts w:ascii="Times New Roman" w:hAnsi="Times New Roman"/>
      <w:sz w:val="24"/>
    </w:rPr>
  </w:style>
  <w:style w:type="paragraph" w:styleId="Style52">
    <w:name w:val="Информация о версии"/>
    <w:basedOn w:val="Style67"/>
    <w:next w:val="Normal"/>
    <w:link w:val="Style_30_ch"/>
    <w:qFormat/>
    <w:pPr/>
    <w:rPr>
      <w:i/>
    </w:rPr>
  </w:style>
  <w:style w:type="paragraph" w:styleId="Style53">
    <w:name w:val="Прижатый влево"/>
    <w:basedOn w:val="Normal"/>
    <w:next w:val="Normal"/>
    <w:link w:val="Style_5_ch"/>
    <w:qFormat/>
    <w:pPr>
      <w:ind w:left="0" w:right="0" w:hanging="0"/>
      <w:jc w:val="left"/>
    </w:pPr>
    <w:rPr/>
  </w:style>
  <w:style w:type="paragraph" w:styleId="Style54">
    <w:name w:val="Верхний колонтитул Знак"/>
    <w:basedOn w:val="DefaultParagraphFont1"/>
    <w:link w:val="Style_33_ch"/>
    <w:qFormat/>
    <w:pPr/>
    <w:rPr>
      <w:rFonts w:ascii="Times New Roman CYR" w:hAnsi="Times New Roman CYR"/>
      <w:sz w:val="24"/>
    </w:rPr>
  </w:style>
  <w:style w:type="paragraph" w:styleId="Style55">
    <w:name w:val="Цветовое выделение для Текст"/>
    <w:link w:val="Style_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Без интервала1"/>
    <w:link w:val="Style_3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56">
    <w:name w:val="Верхний и нижний колонтитулы"/>
    <w:link w:val="Style_54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Footer"/>
    <w:basedOn w:val="Normal"/>
    <w:link w:val="Style_36_ch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23">
    <w:name w:val="Название Знак2"/>
    <w:basedOn w:val="DefaultParagraphFont1"/>
    <w:link w:val="Style_37_ch"/>
    <w:qFormat/>
    <w:pPr/>
    <w:rPr>
      <w:rFonts w:ascii="Times New Roman CYR" w:hAnsi="Times New Roman CYR"/>
      <w:b/>
      <w:color w:val="26282F"/>
      <w:sz w:val="24"/>
    </w:rPr>
  </w:style>
  <w:style w:type="paragraph" w:styleId="Indexheading1">
    <w:name w:val="index heading"/>
    <w:basedOn w:val="Normal"/>
    <w:link w:val="Style_38_ch"/>
    <w:qFormat/>
    <w:pPr/>
    <w:rPr/>
  </w:style>
  <w:style w:type="paragraph" w:styleId="32">
    <w:name w:val="TOC 3"/>
    <w:next w:val="Normal"/>
    <w:link w:val="Style_39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8">
    <w:name w:val="Текст примечания Знак"/>
    <w:basedOn w:val="DefaultParagraphFont1"/>
    <w:link w:val="Style_41_ch"/>
    <w:qFormat/>
    <w:pPr/>
    <w:rPr>
      <w:rFonts w:ascii="Calibri" w:hAnsi="Calibri"/>
      <w:sz w:val="20"/>
    </w:rPr>
  </w:style>
  <w:style w:type="paragraph" w:styleId="Annotationreference1">
    <w:name w:val="annotation reference"/>
    <w:link w:val="Style_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16"/>
      <w:szCs w:val="20"/>
      <w:lang w:val="ru-RU" w:eastAsia="zh-CN" w:bidi="hi-IN"/>
    </w:rPr>
  </w:style>
  <w:style w:type="paragraph" w:styleId="14">
    <w:name w:val="Название Знак1"/>
    <w:basedOn w:val="DefaultParagraphFont1"/>
    <w:link w:val="Style_43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59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ListParagraph1">
    <w:name w:val="List Paragraph"/>
    <w:basedOn w:val="Normal"/>
    <w:link w:val="Style_11_ch"/>
    <w:qFormat/>
    <w:pPr>
      <w:spacing w:before="0" w:after="0"/>
      <w:ind w:left="720" w:right="0" w:firstLine="720"/>
      <w:contextualSpacing/>
    </w:pPr>
    <w:rPr/>
  </w:style>
  <w:style w:type="paragraph" w:styleId="ConsPlusTitle1">
    <w:name w:val="ConsPlusTitle"/>
    <w:link w:val="Style_45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60">
    <w:name w:val="Текст выноски Знак"/>
    <w:basedOn w:val="DefaultParagraphFont1"/>
    <w:link w:val="Style_47_ch"/>
    <w:qFormat/>
    <w:pPr/>
    <w:rPr>
      <w:rFonts w:ascii="Segoe UI" w:hAnsi="Segoe UI"/>
      <w:sz w:val="18"/>
    </w:rPr>
  </w:style>
  <w:style w:type="paragraph" w:styleId="Style61">
    <w:name w:val="Header"/>
    <w:basedOn w:val="Normal"/>
    <w:link w:val="Style_1_ch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1">
    <w:name w:val="ConsPlusNonformat"/>
    <w:link w:val="Style_7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4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basedOn w:val="Normal"/>
    <w:link w:val="Style_49_ch"/>
    <w:qFormat/>
    <w:pPr/>
    <w:rPr>
      <w:sz w:val="20"/>
    </w:rPr>
  </w:style>
  <w:style w:type="paragraph" w:styleId="Style62">
    <w:name w:val="Тема примечания Знак"/>
    <w:basedOn w:val="Style58"/>
    <w:link w:val="Style_50_ch"/>
    <w:qFormat/>
    <w:pPr/>
    <w:rPr>
      <w:rFonts w:ascii="Times New Roman CYR" w:hAnsi="Times New Roman CYR"/>
      <w:b/>
      <w:sz w:val="20"/>
    </w:rPr>
  </w:style>
  <w:style w:type="paragraph" w:styleId="15">
    <w:name w:val="TOC 1"/>
    <w:next w:val="Normal"/>
    <w:link w:val="Style_51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63">
    <w:name w:val="Привязка сноски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ConsPlusNormal3">
    <w:name w:val="ConsPlusNormal"/>
    <w:link w:val="Style_9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64">
    <w:name w:val="Интернет-ссылка"/>
    <w:link w:val="Style_5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2"/>
      <w:szCs w:val="20"/>
      <w:u w:val="single"/>
      <w:lang w:val="ru-RU" w:eastAsia="zh-CN" w:bidi="hi-IN"/>
    </w:rPr>
  </w:style>
  <w:style w:type="paragraph" w:styleId="UnresolvedMention1">
    <w:name w:val="Unresolved Mention"/>
    <w:link w:val="Style_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2"/>
      <w:szCs w:val="20"/>
      <w:shd w:fill="E1DFDD" w:val="clear"/>
      <w:lang w:val="ru-RU" w:eastAsia="zh-CN" w:bidi="hi-IN"/>
    </w:rPr>
  </w:style>
  <w:style w:type="paragraph" w:styleId="EndnoteCharacters1">
    <w:name w:val="Endnote Characters"/>
    <w:link w:val="Style_5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65">
    <w:name w:val="Текст концевой сноски Знак"/>
    <w:basedOn w:val="DefaultParagraphFont1"/>
    <w:link w:val="Style_58_ch"/>
    <w:qFormat/>
    <w:pPr/>
    <w:rPr>
      <w:rFonts w:ascii="Times New Roman CYR" w:hAnsi="Times New Roman CYR"/>
      <w:sz w:val="20"/>
    </w:rPr>
  </w:style>
  <w:style w:type="paragraph" w:styleId="9">
    <w:name w:val="TOC 9"/>
    <w:next w:val="Normal"/>
    <w:link w:val="Style_59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8">
    <w:name w:val="TOC 8"/>
    <w:next w:val="Normal"/>
    <w:link w:val="Style_61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3">
    <w:name w:val="Заголовок 3 Знак"/>
    <w:basedOn w:val="DefaultParagraphFont1"/>
    <w:link w:val="Style_62_ch"/>
    <w:qFormat/>
    <w:pPr/>
    <w:rPr>
      <w:rFonts w:ascii="Calibri Light" w:hAnsi="Calibri Light" w:asciiTheme="majorAscii" w:hAnsiTheme="majorHAnsi"/>
      <w:color w:val="1F4E79" w:themeColor="accent1" w:themeShade="7f"/>
      <w:sz w:val="24"/>
    </w:rPr>
  </w:style>
  <w:style w:type="paragraph" w:styleId="Style66">
    <w:name w:val="Нижний колонтитул Знак"/>
    <w:basedOn w:val="DefaultParagraphFont1"/>
    <w:link w:val="Style_63_ch"/>
    <w:qFormat/>
    <w:pPr/>
    <w:rPr>
      <w:rFonts w:ascii="Times New Roman CYR" w:hAnsi="Times New Roman CYR"/>
      <w:sz w:val="24"/>
    </w:rPr>
  </w:style>
  <w:style w:type="paragraph" w:styleId="Style67">
    <w:name w:val="Комментарий"/>
    <w:basedOn w:val="Style48"/>
    <w:next w:val="Normal"/>
    <w:link w:val="Style_31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Style68">
    <w:name w:val="Привязка концевой сноски"/>
    <w:link w:val="Style_6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FootnoteCharacters1">
    <w:name w:val="Footnote Characters"/>
    <w:link w:val="Style_6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69">
    <w:name w:val="Посещённая гиперссылка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2"/>
      <w:szCs w:val="20"/>
      <w:u w:val="single"/>
      <w:lang w:val="ru-RU" w:eastAsia="zh-CN" w:bidi="hi-IN"/>
    </w:rPr>
  </w:style>
  <w:style w:type="paragraph" w:styleId="51">
    <w:name w:val="TOC 5"/>
    <w:next w:val="Normal"/>
    <w:link w:val="Style_67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"/>
    <w:basedOn w:val="Normal"/>
    <w:link w:val="Style_68_ch"/>
    <w:qFormat/>
    <w:pPr>
      <w:spacing w:before="120" w:after="120"/>
    </w:pPr>
    <w:rPr>
      <w:i/>
    </w:rPr>
  </w:style>
  <w:style w:type="paragraph" w:styleId="Style70">
    <w:name w:val="Цветовое выделение"/>
    <w:link w:val="Style_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2"/>
      <w:szCs w:val="20"/>
      <w:lang w:val="ru-RU" w:eastAsia="zh-CN" w:bidi="hi-IN"/>
    </w:rPr>
  </w:style>
  <w:style w:type="paragraph" w:styleId="Style71">
    <w:name w:val="Содержимое врезки"/>
    <w:basedOn w:val="Normal"/>
    <w:link w:val="Style_69_ch"/>
    <w:qFormat/>
    <w:pPr/>
    <w:rPr/>
  </w:style>
  <w:style w:type="paragraph" w:styleId="Style72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Style73">
    <w:name w:val="Подзаголовок для информации об изменениях"/>
    <w:basedOn w:val="Style50"/>
    <w:next w:val="Normal"/>
    <w:link w:val="Style_71_ch"/>
    <w:qFormat/>
    <w:pPr/>
    <w:rPr>
      <w:b/>
    </w:rPr>
  </w:style>
  <w:style w:type="paragraph" w:styleId="Linenumber1">
    <w:name w:val="line number"/>
    <w:link w:val="Style_7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4">
    <w:name w:val="Subtitle"/>
    <w:next w:val="Normal"/>
    <w:link w:val="Style_73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75">
    <w:name w:val="Текст сноски Знак"/>
    <w:basedOn w:val="DefaultParagraphFont1"/>
    <w:link w:val="Style_74_ch"/>
    <w:qFormat/>
    <w:pPr/>
    <w:rPr>
      <w:rFonts w:ascii="Times New Roman CYR" w:hAnsi="Times New Roman CYR"/>
      <w:sz w:val="20"/>
    </w:rPr>
  </w:style>
  <w:style w:type="paragraph" w:styleId="Style76">
    <w:name w:val="Title"/>
    <w:basedOn w:val="Normal"/>
    <w:next w:val="Normal"/>
    <w:link w:val="Style_75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BalloonText1">
    <w:name w:val="Balloon Text"/>
    <w:basedOn w:val="Normal"/>
    <w:link w:val="Style_77_ch"/>
    <w:qFormat/>
    <w:pPr/>
    <w:rPr>
      <w:rFonts w:ascii="Segoe UI" w:hAnsi="Segoe UI"/>
      <w:sz w:val="18"/>
    </w:rPr>
  </w:style>
  <w:style w:type="paragraph" w:styleId="Style77">
    <w:name w:val="Информация об изменениях"/>
    <w:basedOn w:val="Style50"/>
    <w:next w:val="Normal"/>
    <w:link w:val="Style_78_ch"/>
    <w:qFormat/>
    <w:pPr>
      <w:spacing w:before="180" w:after="0"/>
      <w:ind w:left="360" w:right="360" w:hanging="0"/>
    </w:pPr>
    <w:rPr/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81">
    <w:name w:val="Table Grid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wmf"/><Relationship Id="rId4" Type="http://schemas.openxmlformats.org/officeDocument/2006/relationships/image" Target="media/image3.png"/><Relationship Id="rId5" Type="http://schemas.openxmlformats.org/officeDocument/2006/relationships/image" Target="media/image4.wmf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Application>LibreOffice/7.0.6.2$Linux_X86_64 LibreOffice_project/00$Build-2</Application>
  <AppVersion>15.0000</AppVersion>
  <Pages>7</Pages>
  <Words>1583</Words>
  <Characters>8983</Characters>
  <CharactersWithSpaces>10301</CharactersWithSpaces>
  <Paragraphs>296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2023-10-06T16:32:42Z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