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>Описание объекта закупки</w:t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(оказание услуг по сбору, транспортированию и обезвреживанию (или обеззараживанию или размещению) медицинских отходов)</w:t>
      </w:r>
    </w:p>
    <w:p>
      <w:pPr>
        <w:pStyle w:val="Normal"/>
        <w:tabs>
          <w:tab w:val="clear" w:pos="720"/>
          <w:tab w:val="left" w:pos="10308" w:leader="none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/>
      </w:pPr>
      <w:r>
        <w:rPr>
          <w:rFonts w:ascii="Liberation Serif" w:hAnsi="Liberation Serif"/>
          <w:sz w:val="28"/>
        </w:rPr>
        <w:t xml:space="preserve">Код по </w:t>
      </w:r>
      <w:hyperlink r:id="rId2">
        <w:r>
          <w:rPr>
            <w:rFonts w:ascii="Liberation Serif" w:hAnsi="Liberation Serif"/>
            <w:sz w:val="28"/>
          </w:rPr>
          <w:t>ОКПД 2</w:t>
        </w:r>
      </w:hyperlink>
      <w:r>
        <w:rPr>
          <w:rFonts w:ascii="Liberation Serif" w:hAnsi="Liberation Serif"/>
          <w:sz w:val="28"/>
        </w:rPr>
        <w:t>/Код позиции КТРУ</w:t>
      </w:r>
      <w:r>
        <w:rPr>
          <w:rFonts w:ascii="Liberation Serif" w:hAnsi="Liberation Serif"/>
          <w:color w:val="000000"/>
          <w:spacing w:val="0"/>
          <w:sz w:val="28"/>
          <w:vertAlign w:val="superscript"/>
        </w:rPr>
        <w:t>1</w:t>
      </w:r>
      <w:r>
        <w:rPr>
          <w:rFonts w:ascii="Liberation Serif" w:hAnsi="Liberation Serif"/>
          <w:sz w:val="28"/>
        </w:rPr>
        <w:t>: _____________________________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tbl>
      <w:tblPr>
        <w:tblStyle w:val="Style_4"/>
        <w:tblW w:w="9637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2227"/>
        <w:gridCol w:w="2833"/>
        <w:gridCol w:w="2108"/>
        <w:gridCol w:w="849"/>
        <w:gridCol w:w="982"/>
      </w:tblGrid>
      <w:tr>
        <w:trPr/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№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br/>
              <w:t>п/п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Наименование закупаемых услуг, входящих в объект закупки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Требования, установленные к функциональным, техническим характеристикам закупаемых услуг, работ, входящих в объект закупки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Требования, установленные к качественным характеристикам закупаемых услуг, входящих в объект закупки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Ед. изм.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Объем</w:t>
            </w:r>
          </w:p>
        </w:tc>
      </w:tr>
      <w:tr>
        <w:trPr/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2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Оказание услуг по сбору, транспортированию и обезвреживанию (или обеззараживанию или размещению) </w:t>
            </w: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  <w:vertAlign w:val="superscript"/>
              </w:rPr>
              <w:t>2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медицинских отходов класса ______ </w:t>
            </w: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  <w:vertAlign w:val="superscript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Объекты, подлежащие очистке </w:t>
            </w:r>
            <w:r>
              <w:rPr>
                <w:rFonts w:ascii="Liberation Serif" w:hAnsi="Liberation Serif"/>
                <w:spacing w:val="0"/>
                <w:kern w:val="0"/>
                <w:sz w:val="24"/>
                <w:szCs w:val="20"/>
                <w:vertAlign w:val="superscript"/>
              </w:rPr>
              <w:t>4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:</w:t>
            </w:r>
          </w:p>
        </w:tc>
        <w:tc>
          <w:tcPr>
            <w:tcW w:w="2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Качество предоставляемых услуг должно соответствовать требованиям, предъявляемым к услугам соответствующего рода в нормативных и правовых актах Российской Федерации: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куб. м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Вид отходов: 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</w:rPr>
              <w:t>5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/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Характеристика мест первичного сбора (временного хранения) отходов: </w:t>
            </w:r>
            <w:hyperlink w:anchor="sub_250055">
              <w:r>
                <w:rPr>
                  <w:rFonts w:ascii="Liberation Serif" w:hAnsi="Liberation Serif"/>
                  <w:color w:val="000000"/>
                  <w:spacing w:val="0"/>
                  <w:kern w:val="0"/>
                  <w:sz w:val="24"/>
                  <w:szCs w:val="20"/>
                  <w:vertAlign w:val="superscript"/>
                </w:rPr>
                <w:t>6</w:t>
              </w:r>
            </w:hyperlink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Емкости для накопления отходов: 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</w:rPr>
              <w:t>7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/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Количество емкостей для накопления отходов, размещенных в местах временного хранения отходов: ____ шт., в том числе по объектам очистки </w:t>
            </w:r>
            <w:hyperlink w:anchor="sub_250077">
              <w:r>
                <w:rPr>
                  <w:rFonts w:ascii="Liberation Serif" w:hAnsi="Liberation Serif"/>
                  <w:color w:val="000000"/>
                  <w:spacing w:val="0"/>
                  <w:kern w:val="0"/>
                  <w:sz w:val="24"/>
                  <w:szCs w:val="20"/>
                  <w:vertAlign w:val="superscript"/>
                </w:rPr>
                <w:t>8</w:t>
              </w:r>
            </w:hyperlink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: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Объем отходов, предполагаемый к вывозу с объектов очистки в период оказания услуг: 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</w:rPr>
              <w:t>9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Работы, связанные с обращением отходов, проводимые Исполнителем: </w:t>
            </w:r>
            <w:r>
              <w:rPr>
                <w:rFonts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</w:rPr>
              <w:t>10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1. Сбор отходов - прием или поступление отходов от физических лиц и юридических лиц в целях дальнейшего использования, обезвреживания, транспортирования, размещения таких отходов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2. Транспортирование отходов 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правах.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3. Обезвреживание отходов - обработка отходов с применением технологий, ведущих к утрате всех опасных свойств отходов в целях предотвращения их вредного воздействия на здоровье человека и окружающую среду.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4. Обеззараживание отходов - дезинфекция отходов, заключающаяся в уничтожении (умерщвлении) патогенных и условно патогенных микроорганизмов, содержащихся в отходах в целях устранения их эпидемиологической опасности.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5. Размещение отходов - хранение и захоронение отходов.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/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 xml:space="preserve">Периодичность вывоза отходов: </w:t>
            </w:r>
            <w:hyperlink w:anchor="sub_250010">
              <w:r>
                <w:rPr>
                  <w:rFonts w:ascii="Liberation Serif" w:hAnsi="Liberation Serif"/>
                  <w:color w:val="000000"/>
                  <w:spacing w:val="0"/>
                  <w:kern w:val="0"/>
                  <w:sz w:val="24"/>
                  <w:szCs w:val="20"/>
                  <w:vertAlign w:val="superscript"/>
                </w:rPr>
                <w:t>1</w:t>
              </w:r>
            </w:hyperlink>
            <w:r>
              <w:rPr>
                <w:rFonts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</w:rPr>
              <w:t>1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Проведение санитарной обработки емкостей для сбора отходов на месте их размещения с соблюдением положений нормативных и правовых актов Российской Федерации, устанавливающих требования к периодичности обработки и правилам обработки емкостей для сбора отходов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Дополнительные сведения:</w:t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color w:val="000000"/>
          <w:spacing w:val="0"/>
          <w:sz w:val="24"/>
          <w:vertAlign w:val="superscript"/>
        </w:rPr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color w:val="000000"/>
          <w:spacing w:val="0"/>
          <w:sz w:val="24"/>
          <w:vertAlign w:val="superscript"/>
        </w:rPr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  <w:t>1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  <w:sz w:val="20"/>
        </w:rPr>
        <w:t xml:space="preserve">Общероссийский классификатор продукции по видам экономической деятельности </w:t>
      </w:r>
      <w:hyperlink r:id="rId3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услуг, размещенный в единой информационной системе в сфере закупок.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sz w:val="24"/>
          <w:vertAlign w:val="superscript"/>
        </w:rPr>
        <w:t>2</w:t>
      </w:r>
      <w:r>
        <w:rPr>
          <w:rFonts w:ascii="Liberation Serif" w:hAnsi="Liberation Serif"/>
          <w:sz w:val="24"/>
        </w:rPr>
        <w:t xml:space="preserve"> </w:t>
      </w:r>
      <w:r>
        <w:rPr>
          <w:rFonts w:ascii="Liberation Serif" w:hAnsi="Liberation Serif"/>
          <w:sz w:val="20"/>
        </w:rPr>
        <w:t>В наименовании объекта закупки указывают виды работ согласно потребности заказчика.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sz w:val="24"/>
          <w:vertAlign w:val="superscript"/>
        </w:rPr>
        <w:t>3</w:t>
      </w:r>
      <w:r>
        <w:rPr>
          <w:rFonts w:ascii="Liberation Serif" w:hAnsi="Liberation Serif"/>
          <w:sz w:val="24"/>
        </w:rPr>
        <w:t xml:space="preserve"> </w:t>
      </w:r>
      <w:r>
        <w:rPr>
          <w:rFonts w:ascii="Liberation Serif" w:hAnsi="Liberation Serif"/>
          <w:sz w:val="20"/>
        </w:rPr>
        <w:t>В соответствии с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необходимо указать класс медицинских отходов:</w:t>
      </w:r>
      <w:bookmarkStart w:id="0" w:name="sub_250022"/>
      <w:bookmarkEnd w:id="0"/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>класс А - эпидемиологически безопасные отходы, приближенные по составу к твердым бытовым отходам;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>класс Б - эпидемиологически опасные отходы;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>класс В - чрезвычайно эпидемиологически опасные отходы;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>класс Г - токсикологически опасные отходы 1-4 классов опасности;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>класс Д - радиоактивные отходы.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sz w:val="24"/>
          <w:vertAlign w:val="superscript"/>
        </w:rPr>
        <w:t>4</w:t>
      </w:r>
      <w:r>
        <w:rPr>
          <w:rFonts w:ascii="Liberation Serif" w:hAnsi="Liberation Serif"/>
          <w:sz w:val="24"/>
        </w:rPr>
        <w:t xml:space="preserve"> </w:t>
      </w:r>
      <w:r>
        <w:rPr>
          <w:rFonts w:ascii="Liberation Serif" w:hAnsi="Liberation Serif"/>
          <w:sz w:val="20"/>
        </w:rPr>
        <w:t>Заказчику необходимо указать полное наименование своего учреждения (или учреждений, для которых сформирована закупка), фактический адрес местонахождения, по которому необходимо оказать услугу).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  <w:t>5</w:t>
      </w:r>
      <w:r>
        <w:rPr>
          <w:rFonts w:ascii="Liberation Serif" w:hAnsi="Liberation Serif"/>
          <w:sz w:val="24"/>
        </w:rPr>
        <w:t xml:space="preserve"> </w:t>
      </w:r>
      <w:r>
        <w:rPr>
          <w:rFonts w:ascii="Liberation Serif" w:hAnsi="Liberation Serif"/>
          <w:sz w:val="20"/>
        </w:rPr>
        <w:t>Указывается перечень медицинских отходов, подлежащих сбору, транспортированию и обезвреживанию.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  <w:t>6</w:t>
      </w:r>
      <w:bookmarkStart w:id="1" w:name="sub_250055"/>
      <w:r>
        <w:rPr>
          <w:rFonts w:ascii="Liberation Serif" w:hAnsi="Liberation Serif"/>
          <w:sz w:val="24"/>
        </w:rPr>
        <w:t xml:space="preserve"> </w:t>
      </w:r>
      <w:bookmarkStart w:id="2" w:name="sub_250077"/>
      <w:bookmarkEnd w:id="1"/>
      <w:r>
        <w:rPr>
          <w:rFonts w:ascii="Liberation Serif" w:hAnsi="Liberation Serif"/>
          <w:color w:val="000000" w:themeColor="text1"/>
          <w:sz w:val="20"/>
        </w:rPr>
        <w:t>Специальное помещение, обустроенное в соответствии с требованиями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color w:val="000000" w:themeColor="text1"/>
          <w:spacing w:val="0"/>
          <w:sz w:val="24"/>
          <w:vertAlign w:val="superscript"/>
        </w:rPr>
        <w:t xml:space="preserve">7 </w:t>
      </w:r>
      <w:r>
        <w:rPr>
          <w:rFonts w:ascii="Liberation Serif" w:hAnsi="Liberation Serif"/>
          <w:color w:val="000000" w:themeColor="text1"/>
          <w:sz w:val="20"/>
        </w:rPr>
        <w:t xml:space="preserve">Заказчику необходимо указать тип емкости и ее цвет в соответствии с требованиями </w:t>
      </w:r>
      <w:hyperlink r:id="rId4">
        <w:r>
          <w:rPr>
            <w:rFonts w:ascii="Liberation Serif" w:hAnsi="Liberation Serif"/>
            <w:color w:val="000000" w:themeColor="text1"/>
            <w:sz w:val="20"/>
          </w:rPr>
          <w:t>СанПиН 2.1.3684-21</w:t>
        </w:r>
      </w:hyperlink>
      <w:r>
        <w:rPr>
          <w:rFonts w:ascii="Liberation Serif" w:hAnsi="Liberation Serif"/>
          <w:color w:val="000000" w:themeColor="text1"/>
          <w:sz w:val="20"/>
        </w:rPr>
        <w:t xml:space="preserve">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 Также необходимо прописать есть ли такие емкости у заказчика или исполнителю необходимо их предоставить. В случае, если емкости необходимо предоставить исполнителю, то требование необходимо дополнить следующей информацией: в какой срок с момента </w:t>
      </w:r>
      <w:r>
        <w:rPr>
          <w:rFonts w:ascii="Liberation Serif" w:hAnsi="Liberation Serif"/>
          <w:sz w:val="20"/>
        </w:rPr>
        <w:t>начала оказания услуг необходимо предоставить сборники для накопления отходов.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  <w:t xml:space="preserve">8 </w:t>
      </w:r>
      <w:r>
        <w:rPr>
          <w:rFonts w:ascii="Liberation Serif" w:hAnsi="Liberation Serif"/>
          <w:sz w:val="20"/>
        </w:rPr>
        <w:t>Если услугу необходимо указывать на одном объекте, то заказчику необходимо удалить текст, выделенный красным цветом.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bookmarkEnd w:id="2"/>
      <w:r>
        <w:rPr>
          <w:rFonts w:ascii="Liberation Serif" w:hAnsi="Liberation Serif"/>
          <w:sz w:val="24"/>
          <w:vertAlign w:val="superscript"/>
        </w:rPr>
        <w:t>9</w:t>
      </w:r>
      <w:r>
        <w:rPr>
          <w:rFonts w:ascii="Liberation Serif" w:hAnsi="Liberation Serif"/>
          <w:sz w:val="24"/>
        </w:rPr>
        <w:t xml:space="preserve"> </w:t>
      </w:r>
      <w:r>
        <w:rPr>
          <w:rFonts w:ascii="Liberation Serif" w:hAnsi="Liberation Serif"/>
          <w:sz w:val="20"/>
        </w:rPr>
        <w:t>Строка заполняется в случае, если услугу необходимо оказывать на нескольких объектах. В случае, если услугу необходимо оказывать на одном объекте, то объем услуг указывается только в столбце «Объем».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  <w:t>10</w:t>
      </w:r>
      <w:r>
        <w:rPr>
          <w:rFonts w:ascii="Liberation Serif" w:hAnsi="Liberation Serif"/>
          <w:sz w:val="24"/>
        </w:rPr>
        <w:t xml:space="preserve"> </w:t>
      </w:r>
      <w:r>
        <w:rPr>
          <w:rFonts w:ascii="Liberation Serif" w:hAnsi="Liberation Serif"/>
          <w:sz w:val="20"/>
        </w:rPr>
        <w:t>Заказчику необходимо выбрать работы из перечисленных, которые необходимо выполнить при оказании услуг. При составлении наименования объекта закупки необходимо учесть виды работ, которые входят в форму описания объекта закупки.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  <w:t>11</w:t>
      </w:r>
      <w:r>
        <w:rPr>
          <w:rFonts w:ascii="Liberation Serif" w:hAnsi="Liberation Serif"/>
          <w:sz w:val="24"/>
        </w:rPr>
        <w:t xml:space="preserve"> </w:t>
      </w:r>
      <w:r>
        <w:rPr>
          <w:rFonts w:ascii="Liberation Serif" w:hAnsi="Liberation Serif"/>
          <w:sz w:val="20"/>
        </w:rPr>
        <w:t>К примеру, ежедневно или ежедневно с 8:00 до 13:00, или ежедневно (в том числе в праздничные и выходные дни), или один раз в неделю и т.д.</w:t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>
          <w:rFonts w:ascii="Liberation Serif" w:hAnsi="Liberation Serif"/>
        </w:rPr>
      </w:pPr>
      <w:r>
        <w:rPr/>
      </w:r>
    </w:p>
    <w:sectPr>
      <w:headerReference w:type="default" r:id="rId5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210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64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pt;margin-top:0.05pt;width:42.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70650730/0" TargetMode="External"/><Relationship Id="rId4" Type="http://schemas.openxmlformats.org/officeDocument/2006/relationships/hyperlink" Target="http://internet.garant.ru/document/redirect/12183219/0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LibreOffice/7.0.6.2$Linux_X86_64 LibreOffice_project/00$Build-2</Application>
  <AppVersion>15.0000</AppVersion>
  <Pages>3</Pages>
  <Words>694</Words>
  <Characters>5088</Characters>
  <CharactersWithSpaces>5735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2023-10-05T17:37:18Z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