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(при осуществлении закупок в сфере градостроительной деятельности)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7157"/>
        <w:gridCol w:w="1843"/>
      </w:tblGrid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br/>
              <w:t>п/п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Раздел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Информация</w:t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Наименование объекта закупки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position w:val="0"/>
                <w:sz w:val="24"/>
                <w:sz w:val="24"/>
                <w:vertAlign w:val="baseline"/>
              </w:rPr>
            </w:pPr>
            <w:r>
              <w:rPr>
                <w:rFonts w:ascii="Liberation Serif" w:hAnsi="Liberation Serif"/>
                <w:spacing w:val="0"/>
                <w:kern w:val="0"/>
                <w:position w:val="0"/>
                <w:sz w:val="24"/>
                <w:sz w:val="24"/>
                <w:szCs w:val="20"/>
                <w:vertAlign w:val="baseline"/>
              </w:rPr>
              <w:t>2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position w:val="0"/>
                <w:sz w:val="24"/>
                <w:sz w:val="24"/>
                <w:vertAlign w:val="baseline"/>
              </w:rPr>
            </w:pPr>
            <w:r>
              <w:rPr>
                <w:rFonts w:ascii="Liberation Serif" w:hAnsi="Liberation Serif"/>
                <w:spacing w:val="0"/>
                <w:kern w:val="0"/>
                <w:position w:val="0"/>
                <w:sz w:val="24"/>
                <w:sz w:val="24"/>
                <w:szCs w:val="20"/>
                <w:vertAlign w:val="baseline"/>
              </w:rPr>
              <w:t>Данные о проведении: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position w:val="0"/>
                <w:sz w:val="24"/>
                <w:sz w:val="24"/>
                <w:vertAlign w:val="baseline"/>
              </w:rPr>
            </w:pPr>
            <w:r>
              <w:rPr>
                <w:rFonts w:ascii="Liberation Serif" w:hAnsi="Liberation Serif"/>
                <w:spacing w:val="0"/>
                <w:kern w:val="0"/>
                <w:position w:val="0"/>
                <w:sz w:val="24"/>
                <w:sz w:val="24"/>
                <w:szCs w:val="20"/>
                <w:vertAlign w:val="baseline"/>
              </w:rPr>
              <w:t>- государственной экспертизы проектной документации и резу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position w:val="0"/>
                <w:sz w:val="24"/>
                <w:sz w:val="24"/>
                <w:szCs w:val="20"/>
                <w:vertAlign w:val="baseline"/>
                <w:lang w:val="ru-RU" w:eastAsia="zh-CN" w:bidi="hi-IN"/>
              </w:rPr>
              <w:t>льтатов инженерных изысканий;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 w:eastAsia="Droid Sans Fallback" w:cs="Droid Sans Devanagari"/>
                <w:color w:val="000000"/>
                <w:spacing w:val="0"/>
                <w:kern w:val="0"/>
                <w:position w:val="0"/>
                <w:sz w:val="24"/>
                <w:sz w:val="24"/>
                <w:szCs w:val="20"/>
                <w:vertAlign w:val="baseline"/>
                <w:lang w:val="ru-RU" w:eastAsia="zh-CN" w:bidi="hi-IN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position w:val="0"/>
                <w:sz w:val="24"/>
                <w:sz w:val="24"/>
                <w:szCs w:val="20"/>
                <w:vertAlign w:val="baseline"/>
                <w:lang w:val="ru-RU" w:eastAsia="zh-CN" w:bidi="hi-IN"/>
              </w:rPr>
              <w:t>- проверки достоверности определения сметной стоимости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Сведения о наличии разрешения на строительство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Объем работ и затрат, составляющих предмет контракта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Требование подтверждения соответствия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 технических условий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Гарантийный срок и (или) объем предоставления гарантий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Иная информация, относящаяся к описанию объекта закупки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/>
            </w:pP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 xml:space="preserve">Код по </w:t>
            </w:r>
            <w:hyperlink r:id="rId2">
              <w:r>
                <w:rPr>
                  <w:rFonts w:ascii="Liberation Serif" w:hAnsi="Liberation Serif"/>
                  <w:spacing w:val="0"/>
                  <w:kern w:val="0"/>
                  <w:sz w:val="24"/>
                  <w:szCs w:val="20"/>
                </w:rPr>
                <w:t>ОКПД 2</w:t>
              </w:r>
            </w:hyperlink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</w:rPr>
              <w:t xml:space="preserve">/Код позиции КТРУ 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r>
        <w:rPr>
          <w:rFonts w:ascii="Liberation Serif" w:hAnsi="Liberation Serif"/>
          <w:sz w:val="20"/>
          <w:shd w:fill="auto" w:val="clear"/>
          <w:vertAlign w:val="superscript"/>
        </w:rPr>
        <w:t>1</w:t>
      </w:r>
      <w:r>
        <w:rPr>
          <w:rFonts w:ascii="Liberation Serif" w:hAnsi="Liberation Serif"/>
          <w:sz w:val="20"/>
          <w:shd w:fill="auto" w:val="clear"/>
        </w:rPr>
        <w:t xml:space="preserve"> </w:t>
      </w:r>
      <w:r>
        <w:rPr>
          <w:rFonts w:ascii="Liberation Serif" w:hAnsi="Liberation Serif"/>
          <w:color w:val="000000"/>
          <w:spacing w:val="0"/>
          <w:sz w:val="20"/>
          <w:shd w:fill="auto" w:val="clear"/>
        </w:rPr>
        <w:t>Н</w:t>
      </w:r>
      <w:r>
        <w:rPr>
          <w:rFonts w:ascii="Liberation Serif" w:hAnsi="Liberation Serif"/>
          <w:sz w:val="20"/>
          <w:shd w:fill="auto" w:val="clear"/>
        </w:rPr>
        <w:t xml:space="preserve">еобходимо указать полное наименование объекта закупки, как указано в плане-графике закупок, размещенном в ЕИС и заявке в </w:t>
      </w:r>
      <w:r>
        <w:rPr>
          <w:rFonts w:ascii="Liberation Serif" w:hAnsi="Liberation Serif"/>
          <w:strike w:val="false"/>
          <w:dstrike w:val="false"/>
          <w:sz w:val="20"/>
          <w:shd w:fill="auto" w:val="clear"/>
        </w:rPr>
        <w:t>региональной информационной системе Краснодарского края, используемой в сфере закупок для обеспечения государственных и муниципальных нужд.</w:t>
      </w:r>
    </w:p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r>
        <w:rPr>
          <w:rFonts w:ascii="Liberation Serif" w:hAnsi="Liberation Serif"/>
          <w:sz w:val="20"/>
          <w:shd w:fill="auto" w:val="clear"/>
          <w:vertAlign w:val="superscript"/>
        </w:rPr>
        <w:t>2</w:t>
      </w:r>
      <w:r>
        <w:rPr>
          <w:rFonts w:ascii="Liberation Serif" w:hAnsi="Liberation Serif"/>
          <w:sz w:val="20"/>
          <w:shd w:fill="auto" w:val="clear"/>
        </w:rPr>
        <w:t xml:space="preserve"> Необходимо указать номер, дату и уполномоченный орган, выдавший положительное заключение государственной экспертизы и (или) положительное заключение о достоверности определения сметной стоимости, при отсутствии указывается «Не требуется».</w:t>
      </w:r>
    </w:p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r>
        <w:rPr>
          <w:rFonts w:ascii="Liberation Serif" w:hAnsi="Liberation Serif"/>
          <w:sz w:val="20"/>
          <w:shd w:fill="auto" w:val="clear"/>
          <w:vertAlign w:val="superscript"/>
        </w:rPr>
        <w:t>3</w:t>
      </w:r>
      <w:r>
        <w:rPr>
          <w:rFonts w:ascii="Liberation Serif" w:hAnsi="Liberation Serif"/>
          <w:sz w:val="20"/>
          <w:shd w:fill="auto" w:val="clear"/>
        </w:rPr>
        <w:t xml:space="preserve"> </w:t>
      </w:r>
      <w:r>
        <w:rPr>
          <w:rFonts w:ascii="Liberation Serif" w:hAnsi="Liberation Serif"/>
          <w:color w:val="000000"/>
          <w:spacing w:val="0"/>
          <w:sz w:val="20"/>
          <w:shd w:fill="auto" w:val="clear"/>
        </w:rPr>
        <w:t>Н</w:t>
      </w:r>
      <w:r>
        <w:rPr>
          <w:rFonts w:ascii="Liberation Serif" w:hAnsi="Liberation Serif"/>
          <w:sz w:val="20"/>
          <w:shd w:fill="auto" w:val="clear"/>
        </w:rPr>
        <w:t>еобходимо указать номер, дату и уполномоченный орган, выдавший разрешение на строительство, при отсутствии указывается «Не требуется».</w:t>
      </w:r>
    </w:p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r>
        <w:rPr>
          <w:rFonts w:ascii="Liberation Serif" w:hAnsi="Liberation Serif"/>
          <w:sz w:val="20"/>
          <w:shd w:fill="auto" w:val="clear"/>
          <w:vertAlign w:val="superscript"/>
        </w:rPr>
        <w:t xml:space="preserve">4 </w:t>
      </w:r>
      <w:r>
        <w:rPr>
          <w:rFonts w:ascii="Liberation Serif" w:hAnsi="Liberation Serif"/>
          <w:color w:val="000000"/>
          <w:spacing w:val="0"/>
          <w:sz w:val="20"/>
          <w:shd w:fill="auto" w:val="clear"/>
        </w:rPr>
        <w:t>Н</w:t>
      </w:r>
      <w:r>
        <w:rPr>
          <w:rFonts w:ascii="Liberation Serif" w:hAnsi="Liberation Serif"/>
          <w:sz w:val="20"/>
          <w:shd w:fill="auto" w:val="clear"/>
        </w:rPr>
        <w:t xml:space="preserve">еобходимо указать </w:t>
      </w:r>
      <w:r>
        <w:rPr>
          <w:rFonts w:eastAsia="Droid Sans Fallback" w:cs="Droid Sans Devanagari" w:ascii="Liberation Serif" w:hAnsi="Liberation Serif"/>
          <w:color w:val="000000"/>
          <w:spacing w:val="0"/>
          <w:kern w:val="0"/>
          <w:sz w:val="20"/>
          <w:szCs w:val="20"/>
          <w:shd w:fill="auto" w:val="clear"/>
          <w:lang w:val="ru-RU" w:eastAsia="zh-CN" w:bidi="hi-IN"/>
        </w:rPr>
        <w:t>документы</w:t>
      </w:r>
      <w:r>
        <w:rPr>
          <w:rFonts w:ascii="Liberation Serif" w:hAnsi="Liberation Serif"/>
          <w:sz w:val="20"/>
          <w:shd w:fill="auto" w:val="clear"/>
        </w:rPr>
        <w:t>, устанавливающ</w:t>
      </w:r>
      <w:r>
        <w:rPr>
          <w:rFonts w:eastAsia="Droid Sans Fallback" w:cs="Droid Sans Devanagari" w:ascii="Liberation Serif" w:hAnsi="Liberation Serif"/>
          <w:color w:val="000000"/>
          <w:spacing w:val="0"/>
          <w:kern w:val="0"/>
          <w:sz w:val="20"/>
          <w:szCs w:val="20"/>
          <w:shd w:fill="auto" w:val="clear"/>
          <w:lang w:val="ru-RU" w:eastAsia="zh-CN" w:bidi="hi-IN"/>
        </w:rPr>
        <w:t>ие</w:t>
      </w:r>
      <w:r>
        <w:rPr>
          <w:rFonts w:ascii="Liberation Serif" w:hAnsi="Liberation Serif"/>
          <w:sz w:val="20"/>
          <w:shd w:fill="auto" w:val="clear"/>
        </w:rPr>
        <w:t xml:space="preserve"> объем работ (проектная документация, дефектные акты, ведомость объемов работ и т. д.) </w:t>
      </w:r>
      <w:r>
        <w:rPr>
          <w:rFonts w:ascii="Liberation Serif" w:hAnsi="Liberation Serif"/>
          <w:sz w:val="20"/>
          <w:shd w:fill="auto" w:val="clear"/>
        </w:rPr>
        <w:t>(перечень документов определяет заказчик)</w:t>
      </w:r>
      <w:r>
        <w:rPr>
          <w:rFonts w:ascii="Liberation Serif" w:hAnsi="Liberation Serif"/>
          <w:sz w:val="20"/>
          <w:shd w:fill="auto" w:val="clear"/>
        </w:rPr>
        <w:t>. Перечисленные в данном пункте документы предоставляются в составе заявки, заверенные в установленном порядке.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shd w:fill="auto" w:val="clear"/>
          <w:vertAlign w:val="superscript"/>
        </w:rPr>
        <w:t>5</w:t>
      </w:r>
      <w:r>
        <w:rPr>
          <w:rFonts w:ascii="Liberation Serif" w:hAnsi="Liberation Serif"/>
          <w:sz w:val="20"/>
          <w:shd w:fill="auto" w:val="clear"/>
        </w:rPr>
        <w:t xml:space="preserve"> </w:t>
      </w:r>
      <w:r>
        <w:rPr>
          <w:rFonts w:ascii="Liberation Serif" w:hAnsi="Liberation Serif"/>
          <w:color w:val="000000"/>
          <w:spacing w:val="0"/>
          <w:sz w:val="20"/>
          <w:shd w:fill="auto" w:val="clear"/>
        </w:rPr>
        <w:t>В</w:t>
      </w:r>
      <w:r>
        <w:rPr>
          <w:rFonts w:ascii="Liberation Serif" w:hAnsi="Liberation Serif"/>
          <w:sz w:val="20"/>
          <w:shd w:fill="auto" w:val="clear"/>
        </w:rPr>
        <w:t xml:space="preserve"> данном пункте заказчик указывает актуальные нормативно-правовые акты, устанавливает единые требования к производственным процессам выполнения подрядных работ и перечисляет технические регламенты, документы, разрабатываемые и применяемые в национальной системе стандартизации, и иные требования, предусмотренные </w:t>
      </w:r>
      <w:hyperlink r:id="rId3">
        <w:r>
          <w:rPr>
            <w:rFonts w:ascii="Liberation Serif" w:hAnsi="Liberation Serif"/>
            <w:sz w:val="20"/>
            <w:shd w:fill="auto" w:val="clear"/>
          </w:rPr>
          <w:t>законодательством</w:t>
        </w:r>
      </w:hyperlink>
      <w:r>
        <w:rPr>
          <w:rFonts w:ascii="Liberation Serif" w:hAnsi="Liberation Serif"/>
          <w:sz w:val="20"/>
          <w:shd w:fill="auto" w:val="clear"/>
        </w:rPr>
        <w:t xml:space="preserve"> Российской Федерации о техническом регулировании. Основой для выбора требований может послужить </w:t>
      </w:r>
      <w:hyperlink r:id="rId4">
        <w:r>
          <w:rPr>
            <w:rFonts w:ascii="Liberation Serif" w:hAnsi="Liberation Serif"/>
            <w:sz w:val="20"/>
            <w:shd w:fill="auto" w:val="clear"/>
          </w:rPr>
          <w:t>Федеральный закон</w:t>
        </w:r>
      </w:hyperlink>
      <w:r>
        <w:rPr>
          <w:rFonts w:ascii="Liberation Serif" w:hAnsi="Liberation Serif"/>
          <w:sz w:val="20"/>
          <w:shd w:fill="auto" w:val="clear"/>
        </w:rPr>
        <w:t xml:space="preserve"> от 27 декабря 2002 г. № 184-ФЗ «О техническом регулировании».</w:t>
      </w:r>
    </w:p>
    <w:p>
      <w:pPr>
        <w:pStyle w:val="Normal"/>
        <w:tabs>
          <w:tab w:val="clear" w:pos="720"/>
          <w:tab w:val="left" w:pos="10308" w:leader="none"/>
        </w:tabs>
        <w:spacing w:before="0" w:after="113"/>
        <w:jc w:val="right"/>
        <w:rPr>
          <w:shd w:fill="auto" w:val="clear"/>
        </w:rPr>
      </w:pPr>
      <w:r>
        <w:rPr>
          <w:rFonts w:ascii="Liberation Serif" w:hAnsi="Liberation Serif"/>
          <w:sz w:val="24"/>
          <w:shd w:fill="auto" w:val="clear"/>
        </w:rPr>
        <w:t>Пример:</w:t>
      </w:r>
    </w:p>
    <w:tbl>
      <w:tblPr>
        <w:tblStyle w:val="Style_4"/>
        <w:tblW w:w="964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030"/>
        <w:gridCol w:w="5184"/>
      </w:tblGrid>
      <w:tr>
        <w:trPr>
          <w:trHeight w:val="322" w:hRule="atLeast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5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Требование подтверждения соответствия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стандартизации, технических условий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/>
            </w:pPr>
            <w:hyperlink r:id="rId5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shd w:fill="auto" w:val="clear"/>
                  <w:lang w:val="ru-RU" w:eastAsia="zh-CN" w:bidi="hi-IN"/>
                </w:rPr>
                <w:t>Федеральный закон</w:t>
              </w:r>
            </w:hyperlink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 xml:space="preserve"> от 30 декабря 2009 г. № 384-ФЗ «Технический регламент о безопасности зданий и сооружений»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1.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2.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3. и т.д.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устанавливается соответствующий перечень национальных стандартов и сводов правил;*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- в том числе, возможно, дополнить перечнем документов в области стандартизации. **</w:t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r>
        <w:rPr>
          <w:rFonts w:ascii="Liberation Serif" w:hAnsi="Liberation Serif"/>
          <w:sz w:val="20"/>
          <w:shd w:fill="auto" w:val="clear"/>
        </w:rPr>
        <w:t xml:space="preserve">* </w:t>
      </w:r>
      <w:r>
        <w:rPr>
          <w:rFonts w:ascii="Liberation Serif" w:hAnsi="Liberation Serif"/>
          <w:color w:val="000000" w:themeColor="text1"/>
          <w:sz w:val="20"/>
          <w:shd w:fill="auto" w:val="clear"/>
        </w:rPr>
        <w:t>Постановление Правительства РФ от 28 мая 2021 г. № 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и о признании утратившим силу постановления Правительства Российской Федерации от 4 июля 2020 г. № 985».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shd w:fill="auto" w:val="clear"/>
        </w:rPr>
        <w:t xml:space="preserve">** Национальным органом Российской Федерации по стандартизации в соответствии с </w:t>
      </w:r>
      <w:hyperlink r:id="rId6">
        <w:r>
          <w:rPr>
            <w:rFonts w:ascii="Liberation Serif" w:hAnsi="Liberation Serif"/>
            <w:sz w:val="20"/>
            <w:shd w:fill="auto" w:val="clear"/>
          </w:rPr>
          <w:t>законодательством</w:t>
        </w:r>
      </w:hyperlink>
      <w:r>
        <w:rPr>
          <w:rFonts w:ascii="Liberation Serif" w:hAnsi="Liberation Serif"/>
          <w:sz w:val="20"/>
          <w:shd w:fill="auto" w:val="clear"/>
        </w:rPr>
        <w:t xml:space="preserve"> Российской Федерации о техническом регулировании утверждается, опубликовывается в печатном издании федерального органа исполнительной власти по техническому регулированию и размещается в информационной системе общего пользования в электронно-цифровой форме перечень документов в области стандартизации, результате применения которых на добровольной основе обеспечивается соблюдение требований </w:t>
      </w:r>
      <w:hyperlink r:id="rId7">
        <w:r>
          <w:rPr>
            <w:rFonts w:ascii="Liberation Serif" w:hAnsi="Liberation Serif"/>
            <w:sz w:val="20"/>
            <w:shd w:fill="auto" w:val="clear"/>
          </w:rPr>
          <w:t>Федерального закона</w:t>
        </w:r>
      </w:hyperlink>
      <w:r>
        <w:rPr>
          <w:rFonts w:ascii="Liberation Serif" w:hAnsi="Liberation Serif"/>
          <w:sz w:val="20"/>
          <w:shd w:fill="auto" w:val="clear"/>
        </w:rPr>
        <w:t xml:space="preserve"> от 30 декабря 2009 г. № 384-ФЗ «Технический регламент о безопасности зданий и сооружений».</w:t>
      </w:r>
    </w:p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r>
        <w:rPr>
          <w:rFonts w:ascii="Liberation Serif" w:hAnsi="Liberation Serif"/>
          <w:sz w:val="20"/>
          <w:shd w:fill="auto" w:val="clear"/>
          <w:vertAlign w:val="superscript"/>
        </w:rPr>
        <w:t xml:space="preserve">6 </w:t>
      </w:r>
      <w:r>
        <w:rPr>
          <w:rFonts w:ascii="Liberation Serif" w:hAnsi="Liberation Serif"/>
          <w:position w:val="0"/>
          <w:sz w:val="20"/>
          <w:sz w:val="20"/>
          <w:shd w:fill="auto" w:val="clear"/>
          <w:vertAlign w:val="baseline"/>
        </w:rPr>
        <w:t>Нео</w:t>
      </w:r>
      <w:r>
        <w:rPr>
          <w:rFonts w:ascii="Liberation Serif" w:hAnsi="Liberation Serif"/>
          <w:sz w:val="20"/>
          <w:shd w:fill="auto" w:val="clear"/>
        </w:rPr>
        <w:t>бходимо указать срок гарантии на результат выполненных работ (в том числе на используемые/поставляемые при выполнении работ товары) с указанием объёма предоставления такой гарантии.</w:t>
      </w:r>
    </w:p>
    <w:p>
      <w:pPr>
        <w:pStyle w:val="Normal"/>
        <w:tabs>
          <w:tab w:val="clear" w:pos="720"/>
          <w:tab w:val="left" w:pos="10308" w:leader="none"/>
        </w:tabs>
        <w:rPr>
          <w:shd w:fill="auto" w:val="clear"/>
        </w:rPr>
      </w:pPr>
      <w:bookmarkStart w:id="0" w:name="_Hlk323349421"/>
      <w:r>
        <w:rPr>
          <w:rFonts w:ascii="Liberation Serif" w:hAnsi="Liberation Serif"/>
          <w:sz w:val="20"/>
          <w:shd w:fill="auto" w:val="clear"/>
          <w:vertAlign w:val="superscript"/>
        </w:rPr>
        <w:t>7</w:t>
      </w:r>
      <w:r>
        <w:rPr>
          <w:rFonts w:ascii="Liberation Serif" w:hAnsi="Liberation Serif"/>
          <w:sz w:val="20"/>
          <w:shd w:fill="auto" w:val="clear"/>
        </w:rPr>
        <w:t xml:space="preserve"> </w:t>
      </w:r>
      <w:bookmarkEnd w:id="0"/>
      <w:r>
        <w:rPr>
          <w:rFonts w:ascii="Liberation Serif" w:hAnsi="Liberation Serif"/>
          <w:color w:val="000000"/>
          <w:spacing w:val="0"/>
          <w:sz w:val="20"/>
          <w:shd w:fill="auto" w:val="clear"/>
        </w:rPr>
        <w:t>В</w:t>
      </w:r>
      <w:r>
        <w:rPr>
          <w:rFonts w:ascii="Liberation Serif" w:hAnsi="Liberation Serif"/>
          <w:sz w:val="20"/>
          <w:shd w:fill="auto" w:val="clear"/>
        </w:rPr>
        <w:t>озможно указать дополнительные сведения и документы, не учтенные в вышеперечисленных пунктах, которые более конкретно по мнению заказчика будут описывать предмет закупки.</w:t>
      </w:r>
    </w:p>
    <w:p>
      <w:pPr>
        <w:sectPr>
          <w:headerReference w:type="default" r:id="rId9"/>
          <w:type w:val="nextPage"/>
          <w:pgSz w:w="11906" w:h="16838"/>
          <w:pgMar w:left="1701" w:right="567" w:header="327" w:top="127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shd w:fill="auto" w:val="clear"/>
          <w:vertAlign w:val="superscript"/>
        </w:rPr>
        <w:t>8</w:t>
      </w:r>
      <w:r>
        <w:rPr>
          <w:rFonts w:ascii="Liberation Serif" w:hAnsi="Liberation Serif"/>
          <w:sz w:val="20"/>
          <w:shd w:fill="auto" w:val="clear"/>
        </w:rPr>
        <w:t xml:space="preserve"> </w:t>
      </w:r>
      <w:r>
        <w:rPr>
          <w:rFonts w:ascii="Liberation Serif" w:hAnsi="Liberation Serif"/>
          <w:color w:val="000000"/>
          <w:spacing w:val="0"/>
          <w:sz w:val="20"/>
          <w:shd w:fill="auto" w:val="clear"/>
        </w:rPr>
        <w:t>У</w:t>
      </w:r>
      <w:r>
        <w:rPr>
          <w:rFonts w:ascii="Liberation Serif" w:hAnsi="Liberation Serif"/>
          <w:sz w:val="20"/>
          <w:shd w:fill="auto" w:val="clear"/>
        </w:rPr>
        <w:t xml:space="preserve">казывается код общероссийского классификатора продукции по видам экономической деятельности </w:t>
      </w:r>
      <w:hyperlink r:id="rId8">
        <w:r>
          <w:rPr>
            <w:rFonts w:ascii="Liberation Serif" w:hAnsi="Liberation Serif"/>
            <w:sz w:val="20"/>
            <w:shd w:fill="auto" w:val="clear"/>
          </w:rPr>
          <w:t>ОК 034-2014</w:t>
        </w:r>
      </w:hyperlink>
      <w:r>
        <w:rPr>
          <w:rFonts w:ascii="Liberation Serif" w:hAnsi="Liberation Serif"/>
          <w:sz w:val="20"/>
          <w:shd w:fill="auto" w:val="clear"/>
        </w:rPr>
        <w:t xml:space="preserve"> и код позиции каталога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ind w:left="5954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Приложение 1</w:t>
        <w:br/>
        <w:t>к описанию объекта закупки</w:t>
      </w:r>
    </w:p>
    <w:p>
      <w:pPr>
        <w:pStyle w:val="Normal"/>
        <w:tabs>
          <w:tab w:val="clear" w:pos="720"/>
          <w:tab w:val="left" w:pos="10308" w:leader="none"/>
        </w:tabs>
        <w:ind w:left="5954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(при осуществлении закупок в сфере градостроительной деятельности)</w:t>
      </w:r>
    </w:p>
    <w:p>
      <w:pPr>
        <w:pStyle w:val="Style75"/>
        <w:tabs>
          <w:tab w:val="clear" w:pos="720"/>
          <w:tab w:val="left" w:pos="10308" w:leader="none"/>
        </w:tabs>
        <w:ind w:left="5954" w:right="0" w:firstLine="72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1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>Возможные виды и объемы работ по строительству, реконструкции объектов капитального строительства, которые подрядчик обязан выполнить самостоятельно без привлечения других лиц, за исключением дочерних обществ такого подрядчика, к исполнению своих обязательств по государственному контракту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4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2782"/>
        <w:gridCol w:w="1533"/>
        <w:gridCol w:w="1584"/>
        <w:gridCol w:w="2957"/>
      </w:tblGrid>
      <w:tr>
        <w:trPr/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br/>
              <w:t>п/п</w:t>
            </w:r>
          </w:p>
        </w:tc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Наименование вида работ по строительству или реконструкции объекта (ов) капитального строительства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vertAlign w:val="superscript"/>
                <w:lang w:val="ru-RU" w:eastAsia="zh-CN" w:bidi="hi-IN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Объем работ по строительству или реконструкции объекта (ов) капитального строительства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vertAlign w:val="superscript"/>
                <w:lang w:val="ru-RU" w:eastAsia="zh-CN" w:bidi="hi-IN"/>
              </w:rPr>
              <w:t>2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Сметная стоимость работ по строительству или реконструкции объекта (ов) капитального строительства, руб.</w:t>
            </w:r>
            <w:hyperlink w:anchor="sub_82033">
              <w:r>
                <w:rPr>
                  <w:rFonts w:eastAsia="Droid Sans Fallback" w:cs="Droid Sans Devanagari" w:ascii="Liberation Serif" w:hAnsi="Liberation Serif"/>
                  <w:color w:val="000000"/>
                  <w:spacing w:val="0"/>
                  <w:kern w:val="0"/>
                  <w:sz w:val="20"/>
                  <w:szCs w:val="20"/>
                  <w:vertAlign w:val="superscript"/>
                  <w:lang w:val="ru-RU" w:eastAsia="zh-CN" w:bidi="hi-IN"/>
                </w:rPr>
                <w:t>3</w:t>
              </w:r>
            </w:hyperlink>
          </w:p>
        </w:tc>
      </w:tr>
      <w:tr>
        <w:trPr/>
        <w:tc>
          <w:tcPr>
            <w:tcW w:w="7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7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Единица измерения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Количество</w:t>
            </w:r>
          </w:p>
        </w:tc>
        <w:tc>
          <w:tcPr>
            <w:tcW w:w="29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Указывается наименование видов работ по строительству или реконструкции объекта (ов) капитального строительства из числа видов работ, утвержденных </w:t>
      </w:r>
      <w:hyperlink r:id="rId10">
        <w:r>
          <w:rPr>
            <w:rFonts w:ascii="Liberation Serif" w:hAnsi="Liberation Serif"/>
            <w:sz w:val="20"/>
          </w:rPr>
          <w:t>постановлением</w:t>
        </w:r>
      </w:hyperlink>
      <w:r>
        <w:rPr>
          <w:rFonts w:ascii="Liberation Serif" w:hAnsi="Liberation Serif"/>
          <w:sz w:val="20"/>
        </w:rPr>
        <w:t xml:space="preserve"> Правительства Российской Федерации от 15 мая 2017 г. № 570 «Об установлении видов и объемов работ по строительству, реконструкции объектов капитального строительства, которые подрядчик обязан выполнить самостоятельно без привлечения других лиц к исполнению своих обязательств по государственному и (или) муниципальному контрактам, и о внесении изменений в 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предусмотренных проектной документацией.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2</w:t>
      </w:r>
      <w:r>
        <w:rPr>
          <w:rFonts w:ascii="Liberation Serif" w:hAnsi="Liberation Serif"/>
          <w:sz w:val="20"/>
        </w:rPr>
        <w:t xml:space="preserve"> Указывается объем работ по строительству или реконструкции объект объекта (ов) капитального строительства, согласно проектной документации.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3</w:t>
      </w:r>
      <w:r>
        <w:rPr>
          <w:rFonts w:ascii="Liberation Serif" w:hAnsi="Liberation Serif"/>
          <w:sz w:val="20"/>
        </w:rPr>
        <w:t xml:space="preserve"> Указывается сметная стоимость работ по строительству или реконструкции объект объекта (ов) капитального строительства (указать - с НДС/без НДС, с прочими, лимитированными затратами/ без прочих, лимитированных затрат), предусмотренная проектной документацией.</w:t>
      </w:r>
    </w:p>
    <w:sectPr>
      <w:headerReference w:type="default" r:id="rId11"/>
      <w:type w:val="nextPage"/>
      <w:pgSz w:w="11906" w:h="16838"/>
      <w:pgMar w:left="1701" w:right="567" w:header="72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619125" cy="174625"/>
              <wp:effectExtent l="0" t="0" r="0" b="0"/>
              <wp:wrapSquare wrapText="bothSides"/>
              <wp:docPr id="3" name="Picture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4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widowControl w:val="false"/>
                            <w:spacing w:lineRule="auto" w:line="240" w:before="0" w:after="0"/>
                            <w:ind w:left="0" w:right="0" w:hanging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8" stroked="f" style="position:absolute;margin-left:0pt;margin-top:0.05pt;width:48.65pt;height:13.65pt;mso-wrap-style:none;v-text-anchor:middle;mso-position-horizontal:lef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widowControl w:val="false"/>
                      <w:spacing w:lineRule="auto" w:line="240" w:before="0" w:after="0"/>
                      <w:ind w:left="0" w:right="0" w:hanging="0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28015" cy="174625"/>
              <wp:effectExtent l="0" t="0" r="0" b="0"/>
              <wp:wrapSquare wrapText="bothSides"/>
              <wp:docPr id="5" name="Picture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74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widowControl w:val="false"/>
                            <w:spacing w:lineRule="auto" w:line="240" w:before="0" w:after="0"/>
                            <w:ind w:left="0" w:right="0" w:hanging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7" stroked="f" style="position:absolute;margin-left:216.25pt;margin-top:0.05pt;width:49.35pt;height:13.6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widowControl w:val="false"/>
                      <w:spacing w:lineRule="auto" w:line="240" w:before="0" w:after="0"/>
                      <w:ind w:left="0" w:right="0" w:hanging="0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7" name="Врезка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3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12129354/0" TargetMode="External"/><Relationship Id="rId4" Type="http://schemas.openxmlformats.org/officeDocument/2006/relationships/hyperlink" Target="http://internet.garant.ru/document/redirect/12129354/0" TargetMode="External"/><Relationship Id="rId5" Type="http://schemas.openxmlformats.org/officeDocument/2006/relationships/hyperlink" Target="http://internet.garant.ru/document/redirect/12172032/0" TargetMode="External"/><Relationship Id="rId6" Type="http://schemas.openxmlformats.org/officeDocument/2006/relationships/hyperlink" Target="http://internet.garant.ru/document/redirect/12129354/0" TargetMode="External"/><Relationship Id="rId7" Type="http://schemas.openxmlformats.org/officeDocument/2006/relationships/hyperlink" Target="http://internet.garant.ru/document/redirect/12172032/0" TargetMode="External"/><Relationship Id="rId8" Type="http://schemas.openxmlformats.org/officeDocument/2006/relationships/hyperlink" Target="http://internet.garant.ru/document/redirect/70650730/0" TargetMode="External"/><Relationship Id="rId9" Type="http://schemas.openxmlformats.org/officeDocument/2006/relationships/header" Target="header1.xml"/><Relationship Id="rId10" Type="http://schemas.openxmlformats.org/officeDocument/2006/relationships/hyperlink" Target="http://internet.garant.ru/document/redirect/71675760/0" TargetMode="External"/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LibreOffice/7.0.6.2$Linux_X86_64 LibreOffice_project/00$Build-2</Application>
  <AppVersion>15.0000</AppVersion>
  <Pages>3</Pages>
  <Words>785</Words>
  <Characters>5842</Characters>
  <CharactersWithSpaces>6569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2023-10-06T10:03:54Z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