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(оказание услуг питания)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1. Требования к оказываемым услугам, входящим в объект закупки.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bookmarkStart w:id="0" w:name="sub_18001"/>
      <w:bookmarkStart w:id="1" w:name="sub_18001"/>
      <w:bookmarkEnd w:id="1"/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3115"/>
        <w:gridCol w:w="5831"/>
      </w:tblGrid>
      <w:tr>
        <w:trPr/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br/>
              <w:t>п/п</w:t>
            </w:r>
          </w:p>
        </w:tc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техническим, качественным характеристикам закупаемых услуг, входящих в объект закупки</w:t>
            </w:r>
          </w:p>
        </w:tc>
      </w:tr>
      <w:tr>
        <w:trPr/>
        <w:tc>
          <w:tcPr>
            <w:tcW w:w="6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Описание, значение</w:t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Категория питающихся граждан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Объем услуг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График оказания услуг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Место оказания услуг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организации питания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Соблюдение исполнителем требований законодательства Российской Федерации и санитарных нормативов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Иные требования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bookmarkStart w:id="2" w:name="sub_18002"/>
      <w:bookmarkEnd w:id="2"/>
      <w:r>
        <w:rPr>
          <w:rFonts w:ascii="Liberation Serif" w:hAnsi="Liberation Serif"/>
          <w:sz w:val="28"/>
        </w:rPr>
        <w:t>2. Требования к продукции, используемой для приготовления питания.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bookmarkStart w:id="3" w:name="sub_1821"/>
      <w:bookmarkEnd w:id="3"/>
      <w:r>
        <w:rPr>
          <w:rFonts w:ascii="Liberation Serif" w:hAnsi="Liberation Serif"/>
          <w:sz w:val="28"/>
        </w:rPr>
        <w:t xml:space="preserve">2.1. При приготовлении питания используется Ассортимент пищевых продуктов, продовольственного сырья из перечня </w:t>
      </w:r>
      <w:r>
        <w:rPr>
          <w:rFonts w:ascii="Liberation Serif" w:hAnsi="Liberation Serif"/>
          <w:color w:val="000000" w:themeColor="text1"/>
          <w:sz w:val="28"/>
        </w:rPr>
        <w:t>(указываются нормативные акты по питанию, установленные законодательством, соответствующие специфике деятельности заказчиков)</w:t>
      </w:r>
      <w:r>
        <w:rPr>
          <w:rFonts w:ascii="Liberation Serif" w:hAnsi="Liberation Serif"/>
          <w:sz w:val="28"/>
        </w:rPr>
        <w:t>. Качество и безопасность продукции, предназначенной для приготовления питания, должно соответствовать обязательным требованиям, установленным нормативными правовыми актами Таможенного союза или Российской Федерации (техническим регламентам, ГОСТам, СанПиН) и подтверждаться сертификатами соответствия или декларациями о соответствии или их копиями, или ветеринарными сопроводительными документами на продукцию животного происхождения или их копиями.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bookmarkStart w:id="4" w:name="sub_1822"/>
      <w:bookmarkEnd w:id="4"/>
      <w:r>
        <w:rPr>
          <w:rFonts w:ascii="Liberation Serif" w:hAnsi="Liberation Serif"/>
          <w:sz w:val="28"/>
        </w:rPr>
        <w:t>2.2. Маркировка упаковки и транспортной тары готовой пищевой продукции и сырья, используемого при производстве питания, должна соответствовать требованиям, установленным Техническими регламентами Таможенного союза и Российской Федерации, иными нормативными правовыми актами Российской Федерации, регулирующими процессы производства, обращения и реализации пищевых продуктов на территории Российской Федерации.</w:t>
      </w:r>
    </w:p>
    <w:p>
      <w:pPr>
        <w:pStyle w:val="ConsPlusTitle1"/>
        <w:ind w:left="0" w:right="0" w:firstLine="709"/>
        <w:jc w:val="both"/>
        <w:rPr>
          <w:rFonts w:ascii="Liberation Serif" w:hAnsi="Liberation Serif"/>
        </w:rPr>
      </w:pPr>
      <w:bookmarkStart w:id="5" w:name="sub_1823"/>
      <w:bookmarkEnd w:id="5"/>
      <w:r>
        <w:rPr>
          <w:rFonts w:ascii="Liberation Serif" w:hAnsi="Liberation Serif"/>
          <w:b w:val="false"/>
          <w:sz w:val="28"/>
        </w:rPr>
        <w:t xml:space="preserve">2.3. </w:t>
      </w:r>
      <w:r>
        <w:rPr>
          <w:rFonts w:ascii="Liberation Serif" w:hAnsi="Liberation Serif"/>
          <w:b w:val="false"/>
          <w:color w:val="000000" w:themeColor="text1"/>
          <w:sz w:val="28"/>
        </w:rPr>
        <w:t>Используемые при оказании услуг пищевые продукты, за исключением сезонных видов сырья (овощи, фрукты), на момент приготовления питания (закладки в котел) должны иметь резерв срока годности, согласно СанПиН 2.3.2.1324-03 «Гигиенические требования к срокам годности и условиям хранения пищевых продуктов» (утв. Постановлением Главного государственного санитарного врача Российской Федерации от 22 мая 2003 г. № 98 «О введении в действие санитарно-эпидемиологических правил и нормативов СанПиН 2.3.2.1324-03»)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8"/>
        </w:rPr>
        <w:t xml:space="preserve">3. Условия передачи имущества Исполнителю (пункт включается в описание объекта закупки, если в </w:t>
      </w:r>
      <w:hyperlink w:anchor="sub_18001">
        <w:r>
          <w:rPr>
            <w:rFonts w:ascii="Liberation Serif" w:hAnsi="Liberation Serif"/>
            <w:sz w:val="28"/>
          </w:rPr>
          <w:t>п. 1</w:t>
        </w:r>
      </w:hyperlink>
      <w:r>
        <w:rPr>
          <w:rFonts w:ascii="Liberation Serif" w:hAnsi="Liberation Serif"/>
          <w:sz w:val="28"/>
        </w:rPr>
        <w:t xml:space="preserve"> настоящего приложения к </w:t>
      </w:r>
      <w:r>
        <w:rPr>
          <w:rFonts w:ascii="Liberation Serif" w:hAnsi="Liberation Serif"/>
          <w:color w:val="000000" w:themeColor="text1"/>
          <w:sz w:val="28"/>
        </w:rPr>
        <w:t xml:space="preserve">извещению </w:t>
      </w:r>
      <w:r>
        <w:rPr>
          <w:rFonts w:ascii="Liberation Serif" w:hAnsi="Liberation Serif"/>
          <w:sz w:val="28"/>
        </w:rPr>
        <w:t>об осуществлении закупки предусмотрена передача имущества, используемого для целей обеспечения питанием заказчика, исполнителю в аренду или в безвозмездное пользование на период оказания услуг; в данном случае в пункте указываются: основание для передачи имущества с указанием нормативного акта, место расположения, перечень и краткие характеристики имущества, основные расходы и обременения, возникающие у исполнителя при использовании переданного имущества (стоимость аренды, коммунальных услуг и др.).</w:t>
      </w:r>
    </w:p>
    <w:sectPr>
      <w:headerReference w:type="default" r:id="rId4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Application>LibreOffice/7.0.6.2$Linux_X86_64 LibreOffice_project/00$Build-2</Application>
  <AppVersion>15.0000</AppVersion>
  <Pages>2</Pages>
  <Words>370</Words>
  <Characters>2840</Characters>
  <CharactersWithSpaces>3180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2023-10-05T17:36:34Z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