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shd w:fill="auto" w:val="clear"/>
        </w:rPr>
      </w:pPr>
      <w:r>
        <w:rPr>
          <w:rFonts w:ascii="Liberation Serif" w:hAnsi="Liberation Serif"/>
          <w:b/>
          <w:sz w:val="28"/>
          <w:shd w:fill="auto" w:val="clear"/>
        </w:rPr>
        <w:t xml:space="preserve">Описание объекта закупки </w:t>
      </w:r>
    </w:p>
    <w:p>
      <w:pPr>
        <w:pStyle w:val="Normal"/>
        <w:ind w:left="0" w:right="0" w:hanging="0"/>
        <w:jc w:val="center"/>
        <w:rPr>
          <w:shd w:fill="auto" w:val="clear"/>
        </w:rPr>
      </w:pPr>
      <w:r>
        <w:rPr>
          <w:rFonts w:ascii="Liberation Serif" w:hAnsi="Liberation Serif"/>
          <w:shd w:fill="auto" w:val="clear"/>
        </w:rPr>
        <w:t xml:space="preserve"> </w:t>
      </w:r>
      <w:r>
        <w:rPr>
          <w:rFonts w:ascii="Liberation Serif" w:hAnsi="Liberation Serif"/>
          <w:shd w:fill="auto" w:val="clear"/>
        </w:rPr>
        <w:t>(оказание услуг по проведению периодического медицинского осмотра работников)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  <w:shd w:fill="auto" w:val="clear"/>
        </w:rPr>
        <w:t>(указывается полное наименование объекта закупки)</w:t>
      </w:r>
    </w:p>
    <w:p>
      <w:pPr>
        <w:pStyle w:val="Normal"/>
        <w:ind w:left="0" w:right="0" w:hanging="0"/>
        <w:jc w:val="center"/>
        <w:rPr>
          <w:rFonts w:ascii="Liberation Serif" w:hAnsi="Liberation Serif"/>
          <w:sz w:val="28"/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</w:r>
    </w:p>
    <w:p>
      <w:pPr>
        <w:pStyle w:val="Normal"/>
        <w:ind w:left="0" w:right="0" w:hanging="0"/>
        <w:rPr/>
      </w:pPr>
      <w:r>
        <w:rPr>
          <w:rFonts w:ascii="Liberation Serif" w:hAnsi="Liberation Serif"/>
          <w:sz w:val="28"/>
          <w:shd w:fill="auto" w:val="clear"/>
        </w:rPr>
        <w:t xml:space="preserve">Код по </w:t>
      </w:r>
      <w:hyperlink r:id="rId2">
        <w:r>
          <w:rPr>
            <w:rFonts w:ascii="Liberation Serif" w:hAnsi="Liberation Serif"/>
            <w:sz w:val="28"/>
            <w:shd w:fill="auto" w:val="clear"/>
          </w:rPr>
          <w:t>ОКПД 2</w:t>
        </w:r>
      </w:hyperlink>
      <w:r>
        <w:rPr>
          <w:rFonts w:ascii="Liberation Serif" w:hAnsi="Liberation Serif"/>
          <w:sz w:val="28"/>
          <w:shd w:fill="auto" w:val="clear"/>
        </w:rPr>
        <w:t>/Код позиции КТРУ</w:t>
      </w:r>
      <w:r>
        <w:rPr>
          <w:rFonts w:ascii="Liberation Serif" w:hAnsi="Liberation Serif"/>
          <w:sz w:val="28"/>
          <w:shd w:fill="auto" w:val="clear"/>
          <w:vertAlign w:val="superscript"/>
        </w:rPr>
        <w:t>1</w:t>
      </w:r>
      <w:r>
        <w:rPr>
          <w:rFonts w:ascii="Liberation Serif" w:hAnsi="Liberation Serif"/>
          <w:sz w:val="28"/>
          <w:shd w:fill="auto" w:val="clear"/>
        </w:rPr>
        <w:t>: __________________</w:t>
      </w:r>
    </w:p>
    <w:p>
      <w:pPr>
        <w:pStyle w:val="ListParagraph1"/>
        <w:numPr>
          <w:ilvl w:val="0"/>
          <w:numId w:val="0"/>
        </w:numPr>
        <w:ind w:left="720" w:right="0" w:hanging="0"/>
        <w:rPr>
          <w:shd w:fill="auto" w:val="clear"/>
        </w:rPr>
      </w:pPr>
      <w:r>
        <w:rPr>
          <w:shd w:fill="auto" w:val="clear"/>
        </w:rPr>
      </w:r>
    </w:p>
    <w:p>
      <w:pPr>
        <w:pStyle w:val="ListParagraph1"/>
        <w:numPr>
          <w:ilvl w:val="0"/>
          <w:numId w:val="0"/>
        </w:numPr>
        <w:ind w:left="0" w:right="0" w:hanging="0"/>
        <w:rPr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  <w:t>1. Требования к содержанию и качеству оказываемых услуг:</w:t>
      </w:r>
    </w:p>
    <w:p>
      <w:pPr>
        <w:pStyle w:val="ListParagraph1"/>
        <w:ind w:left="0" w:right="0" w:hanging="0"/>
        <w:rPr>
          <w:rFonts w:ascii="Liberation Serif" w:hAnsi="Liberation Serif"/>
          <w:sz w:val="28"/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</w:r>
    </w:p>
    <w:tbl>
      <w:tblPr>
        <w:tblStyle w:val="Style_4"/>
        <w:tblW w:w="964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906"/>
        <w:gridCol w:w="6150"/>
      </w:tblGrid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п/п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Раздел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firstLine="147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Информация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Объем выполняемых работ, оказываемых услуг с единицей измерения объема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 работников _______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осмотров врачами-специалистами и проведений лабораторных и функциональных исследований указано в Приложении № 1 к описанию объекта закупки.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Продолжительность обследования одного служащего, дней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7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не более 1 (одного)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3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Информация о вредных и (или) опасных производственных факторах, видах работ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соответствии со списком контингента по Приказу Минздрава России от 28.01.2021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 указана в пунктах: 1.1, 1.8.1.1, 1.23, 1.39, 2.4.2, 2.4.3, 4.1, 4.3.1, 4.8, 5.1, 9, 18.1, 18.2, 23, 24, 27.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4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Требования, установленные к функциональным, техническим, качественным характеристикам закупаемых работ, услуг, входящих в объект закупки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Заказчик формирует поименные списки работников и направляет Исполнителю в течение _______ дней с даты заключения контракта.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 xml:space="preserve">Поименные списки составляются и утверждаются </w:t>
            </w:r>
            <w:r>
              <w:rPr>
                <w:rFonts w:ascii="Liberation Serif" w:hAnsi="Liberation Serif"/>
                <w:strike w:val="false"/>
                <w:dstrike w:val="false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заказчиком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 xml:space="preserve">  и не позднее чем за 2 месяца до согласованной с </w:t>
            </w:r>
            <w:r>
              <w:rPr>
                <w:rFonts w:ascii="Liberation Serif" w:hAnsi="Liberation Serif"/>
                <w:strike w:val="false"/>
                <w:dstrike w:val="false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 xml:space="preserve">исполнителем 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 xml:space="preserve">даты начала проведения периодического осмотра направляются </w:t>
            </w:r>
            <w:r>
              <w:rPr>
                <w:rFonts w:ascii="Liberation Serif" w:hAnsi="Liberation Serif"/>
                <w:strike w:val="false"/>
                <w:dstrike w:val="false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заказчиком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Liberation Serif" w:hAnsi="Liberation Serif"/>
                <w:strike w:val="false"/>
                <w:dstrike w:val="false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исполнителю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Liberation Serif" w:hAnsi="Liberation Serif"/>
                <w:i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>(если иной срок не установлен договором между работником и работодателем)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trike w:val="false"/>
                <w:dstrike w:val="false"/>
                <w:sz w:val="20"/>
                <w:shd w:fill="auto" w:val="clear"/>
              </w:rPr>
            </w:pP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>Исполнитель в срок не позднее 10 рабочих дней с момента получения от Заказчика поименного списка (но не позднее, чем за 14 рабочих дней до согласованной с Заказчиком даты начала проведения периодического осмотра) на основании поименного списка составляет календарный план проведения периодического осмотра (далее - календарный план).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Календарный план должен содержать сведения о работниках, подлежащих медицинскому осмотру (ФИО), дату и время прохождения медицинского осмотра.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Периодический медицинский осмотр должен проводиться в рабочее время с понедельника по пятницу с __-__ до __-__ часов, из расчета не менее ___ работников в день.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Приём врачами-специалистами работников Заказчика для оказания медицинских услуг проводится вне очереди и вне зависимости от фактической загрузки врачей-специалистов.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5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Перечень документов (материалов), оформляемых Исполнителем по итогам оказанных услуг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3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По окончании периодического осмотра Исполнитель обязан выдать каждому работнику Заказчика на руки:</w:t>
            </w:r>
          </w:p>
          <w:p>
            <w:pPr>
              <w:pStyle w:val="ConsPlusNormal3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- выписку из медицинской карты, в которой отражаются заключения врачей-специалистов, результаты лабораторных и иных исследований,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реабилитации,  заключение по результатам периодического осмотра.</w:t>
            </w:r>
          </w:p>
          <w:p>
            <w:pPr>
              <w:pStyle w:val="ConsPlusNormal3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Данные о прохождении медицинских осмотров подлежат внесению в личные медицинские книжки (_____ шт.).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течение 30 (тридцати) дней со дня завершения периодических осмотров, по факту оказанных услуг, Исполнитель обязан предоставить Заказчику следующие документы: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- заключительный акт, в соответствии с требованиями Приказа № 29н (п. 45-47).</w:t>
            </w:r>
          </w:p>
        </w:tc>
      </w:tr>
      <w:tr>
        <w:trPr>
          <w:trHeight w:val="2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6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Нормативно-правовая база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1. Трудовой кодекс Российской Федерации статья 213 часть 4.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2. Приказ Министерства здравоохранения Российской Федерации от 28.01.2021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3. Федеральный закон от 30.03.1999 г. № 52-ФЗ «О санитарно-эпидемиологическом благополучии населения» (ст. 34).</w:t>
            </w:r>
          </w:p>
          <w:p>
            <w:pPr>
              <w:pStyle w:val="ConsPlusTitle1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b w:val="false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4. Федеральный закон от 21.11.2011 г. № 323-ФЗ «Об основах охраны здоровья граждан в Российской Федерации» (ст. 14, ст. 24).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5. Постановление Главного государственного санитарного врача РФ от 24.12.2020 г. № 44 «Об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товаров», IV. Санитарно-эпидемиологические требования к эксплуатации помещений, зданий, сооружений при осуществлении деятельности хозяйствующими субъектами, оказывающими медицинские услуги.</w:t>
            </w:r>
          </w:p>
          <w:p>
            <w:pPr>
              <w:pStyle w:val="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Liberation Serif" w:hAnsi="Liberation Serif"/>
                <w:color w:val="000000"/>
                <w:sz w:val="20"/>
                <w:shd w:fill="auto" w:val="clear"/>
              </w:rPr>
            </w:pPr>
            <w:r>
              <w:rPr>
                <w:rFonts w:ascii="Liberation Serif" w:hAnsi="Liberation Serif"/>
                <w:b w:val="false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6.</w:t>
              <w:tab/>
              <w:t xml:space="preserve"> Приказ Минздрава России от 19.08.2021 № 866н «Об утверждении классификатора работ (услуг), составляющих медицинскую деятельность».</w:t>
            </w:r>
          </w:p>
        </w:tc>
      </w:tr>
    </w:tbl>
    <w:p>
      <w:pPr>
        <w:pStyle w:val="Normal"/>
        <w:rPr>
          <w:rFonts w:ascii="Liberation Serif" w:hAnsi="Liberation Serif"/>
          <w:shd w:fill="auto" w:val="clear"/>
        </w:rPr>
      </w:pPr>
      <w:r>
        <w:rPr>
          <w:rFonts w:ascii="Liberation Serif" w:hAnsi="Liberation Serif"/>
          <w:shd w:fill="auto" w:val="clear"/>
        </w:rPr>
      </w:r>
    </w:p>
    <w:p>
      <w:pPr>
        <w:pStyle w:val="Normal"/>
        <w:widowControl w:val="false"/>
        <w:tabs>
          <w:tab w:val="clear" w:pos="720"/>
          <w:tab w:val="left" w:pos="10308" w:leader="none"/>
        </w:tabs>
        <w:spacing w:before="0" w:after="0"/>
        <w:ind w:left="0" w:right="0" w:firstLine="737"/>
        <w:jc w:val="both"/>
        <w:rPr/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1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 xml:space="preserve">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 для обеспечения государственных и муниципальных нужд, размещенный в единой информационной системе в сфере закупок.</w:t>
      </w:r>
    </w:p>
    <w:p>
      <w:pPr>
        <w:pStyle w:val="Normal"/>
        <w:widowControl/>
        <w:ind w:left="0" w:right="0" w:hanging="0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br w:type="page"/>
      </w:r>
    </w:p>
    <w:p>
      <w:pPr>
        <w:pStyle w:val="Normal"/>
        <w:tabs>
          <w:tab w:val="clear" w:pos="720"/>
          <w:tab w:val="left" w:pos="7620" w:leader="none"/>
        </w:tabs>
        <w:ind w:left="5812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Приложение № 1</w:t>
      </w:r>
    </w:p>
    <w:p>
      <w:pPr>
        <w:pStyle w:val="Normal"/>
        <w:tabs>
          <w:tab w:val="clear" w:pos="720"/>
          <w:tab w:val="left" w:pos="7620" w:leader="none"/>
        </w:tabs>
        <w:ind w:left="5812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 xml:space="preserve">к описанию объекта закупки </w:t>
      </w:r>
    </w:p>
    <w:p>
      <w:pPr>
        <w:pStyle w:val="Normal"/>
        <w:tabs>
          <w:tab w:val="clear" w:pos="720"/>
          <w:tab w:val="left" w:pos="7620" w:leader="none"/>
        </w:tabs>
        <w:ind w:left="5812" w:right="0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(оказание услуг по проведению периодического медицинского осмотра работников)</w:t>
      </w:r>
    </w:p>
    <w:p>
      <w:pPr>
        <w:pStyle w:val="Normal"/>
        <w:spacing w:lineRule="auto" w:line="276"/>
        <w:jc w:val="center"/>
        <w:rPr>
          <w:rFonts w:ascii="Liberation Serif" w:hAnsi="Liberation Serif"/>
          <w:b/>
          <w:b/>
        </w:rPr>
      </w:pPr>
      <w:r>
        <w:rPr>
          <w:rFonts w:ascii="Liberation Serif" w:hAnsi="Liberation Serif"/>
          <w:b/>
        </w:rPr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Объем оказываемых услуг</w:t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количество осмотров врачами-специалистами и проведения лабораторных и функциональных исследований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Style w:val="Style_4"/>
        <w:tblW w:w="963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389"/>
        <w:gridCol w:w="5523"/>
      </w:tblGrid>
      <w:tr>
        <w:trPr/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Медицинский осмотр работников проводится в зависимости от категории обследуемых врачами-специалистами с использованием лабораторных и функциональных исследований в следующем объеме:</w:t>
            </w:r>
          </w:p>
        </w:tc>
      </w:tr>
      <w:tr>
        <w:trPr/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1.1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Женщина после 40 лет (без маммографии)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1.1.1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Количество обследуемых, чел.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>
          <w:trHeight w:val="369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1.1.2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2.1</w:t>
            </w:r>
          </w:p>
        </w:tc>
        <w:tc>
          <w:tcPr>
            <w:tcW w:w="8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Женщина после 40 лет (с маммографией)</w:t>
            </w:r>
          </w:p>
        </w:tc>
      </w:tr>
      <w:tr>
        <w:trPr/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2.1.1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Количество обследуемых, чел.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2.1.2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z w:val="22"/>
                <w:shd w:fill="auto" w:val="clear"/>
              </w:rPr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…</w:t>
            </w:r>
          </w:p>
        </w:tc>
      </w:tr>
      <w:tr>
        <w:trPr>
          <w:trHeight w:val="330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3.1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Женщина до 40 лет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683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Человек</w:t>
            </w:r>
          </w:p>
        </w:tc>
      </w:tr>
      <w:tr>
        <w:trPr>
          <w:trHeight w:val="28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3.1.1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Количество обследуемых, чел.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>
          <w:trHeight w:val="297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3.1.2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Сведения об объеме и видах необходимых исследований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1) осмотр врачами-специалистами: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  <w:tr>
        <w:trPr>
          <w:trHeight w:val="274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4.1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Мужчина после 40 лет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Человек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4.1.1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Количество обследуемых, чел.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>
          <w:trHeight w:val="238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4.1.2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Сведения об объеме и видах необходимых исследований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1) осмотр врачами-специалистами: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  <w:tr>
        <w:trPr>
          <w:trHeight w:val="311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5.1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Мужчина до 40 лет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Единица измерения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Человек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5.1.1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Количество обследуемых, чел.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>
          <w:trHeight w:val="286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5.1.2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Сведения об объеме и видах необходимых исследований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1) осмотр врачами-специалистами: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</w:rPr>
              <w:t>…</w:t>
            </w:r>
          </w:p>
        </w:tc>
      </w:tr>
    </w:tbl>
    <w:p>
      <w:pPr>
        <w:pStyle w:val="Normal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left"/>
        <w:rPr>
          <w:rFonts w:ascii="Liberation Serif" w:hAnsi="Liberation Serif"/>
          <w:color w:val="000000" w:themeColor="text1"/>
          <w:sz w:val="28"/>
        </w:rPr>
      </w:pPr>
      <w:r>
        <w:rPr>
          <w:rFonts w:ascii="Liberation Serif" w:hAnsi="Liberation Serif"/>
          <w:color w:val="000000" w:themeColor="text1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>
          <w:rFonts w:ascii="Liberation Serif" w:hAnsi="Liberation Serif"/>
        </w:rPr>
      </w:pPr>
      <w:r>
        <w:rPr/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657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0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5pt;margin-top:0.05pt;width:42.1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LibreOffice/7.0.6.2$Linux_X86_64 LibreOffice_project/00$Build-2</Application>
  <AppVersion>15.0000</AppVersion>
  <Pages>4</Pages>
  <Words>856</Words>
  <Characters>6147</Characters>
  <CharactersWithSpaces>6900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2023-10-05T17:37:55Z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