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ПРОЕКТ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1833, от 16 апреля 2024 года №400)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Руководствуясь пунктом 2 статьи 53 Федерального закона от 6 октября 2003 года № 131-ФЗ «Об общих принципах организации местного самоуправления в Российской Федерации» и в целях упорядочения оплаты труда работников муниципальных учреждений муниципального образования Кореновский район администрация муниципального образования Кореновский      район  п о с т а н о в л я е т: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1134" w:leader="none"/>
          <w:tab w:val="left" w:pos="1276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1833, от 16 апреля 2024 года №400) следующие изменения:</w:t>
      </w:r>
    </w:p>
    <w:p>
      <w:pPr>
        <w:pStyle w:val="ListParagraph"/>
        <w:numPr>
          <w:ilvl w:val="1"/>
          <w:numId w:val="3"/>
        </w:numPr>
        <w:tabs>
          <w:tab w:val="left" w:pos="708" w:leader="none"/>
          <w:tab w:val="left" w:pos="1134" w:leader="none"/>
          <w:tab w:val="left" w:pos="1418" w:leader="none"/>
        </w:tabs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Размеры должностных окладов работников муниципальных учреждений муниципального образования Кореновский район изложить в новой редакции (прилагается).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обнародовать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официального обнародования.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701" w:right="567" w:gutter="0" w:header="0" w:top="1134" w:footer="0" w:bottom="993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</w:tabs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/>
      </w:r>
    </w:p>
    <w:tbl>
      <w:tblPr>
        <w:tblW w:w="9850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04"/>
        <w:gridCol w:w="4945"/>
      </w:tblGrid>
      <w:tr>
        <w:trPr>
          <w:cantSplit w:val="true"/>
        </w:trPr>
        <w:tc>
          <w:tcPr>
            <w:tcW w:w="490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4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 № 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08.02.2022 № 165 (с изменениями от 28 ноября 2022 года № 1833, от 16 апреля 2024 года №400)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 № ________)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работников муниципальных учреждений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38" w:type="dxa"/>
        <w:jc w:val="left"/>
        <w:tblInd w:w="-47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77"/>
        <w:gridCol w:w="3960"/>
      </w:tblGrid>
      <w:tr>
        <w:trPr>
          <w:cantSplit w:val="true"/>
        </w:trPr>
        <w:tc>
          <w:tcPr>
            <w:tcW w:w="607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>
        <w:trPr>
          <w:cantSplit w:val="true"/>
        </w:trPr>
        <w:tc>
          <w:tcPr>
            <w:tcW w:w="10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>
        <w:trPr>
          <w:trHeight w:val="370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12506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10005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10005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9377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8076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7946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ЕДДС – старший дежурный оперативный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7653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7865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7362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военно - патриотическому воспитанию несовершеннолетних и молодежи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7362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духовно - нравственному воспитанию несовершеннолетних и молодежи, профилактике экстремизма, терроризма и гармонизации межнациональных отношений в молодежной среде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7362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профилактике антинаркотической деятельности среди несовершеннолетних и молодежи, взаимодействию с правоохранительными органами и органами системы профилактики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7362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кадровой работе и документационному обеспечению учреждения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7362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индивидуальной профилактической работе с несовершеннолетними, молодежью и семьями, состоящими на ведомственных учетах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7362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волонтерской деятельности, экологическому воспитанию и социальной активности несовершеннолетних и молодежи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7362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пропаганде здорового образа жизни, экстремальных видов спорта, туризма, трудовому воспитанию и оздоровлению среди   несовершеннолетних и молодежи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7362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вовлечению в творческую деятельность  несовершеннолетних и молодежи и взаимодействию с органами молодежного самоуправления, молодежному предпринимательству и грантовой деятельности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7362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сбору, обобщению и распределению информации о реализации молодежной политики на территории муниципального образования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7362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Дежурный оперативный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7362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6318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дежурного оперативного – оператор 112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6318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6303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(по охране труда и технике безопасности)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6303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5787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4936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6303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5014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</w:tr>
      <w:tr>
        <w:trPr>
          <w:trHeight w:val="20" w:hRule="atLeast"/>
          <w:cantSplit w:val="true"/>
        </w:trPr>
        <w:tc>
          <w:tcPr>
            <w:tcW w:w="100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8605</w:t>
            </w:r>
          </w:p>
        </w:tc>
      </w:tr>
      <w:tr>
        <w:trPr>
          <w:trHeight w:val="20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 МТО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</w:tr>
      <w:tr>
        <w:trPr>
          <w:trHeight w:val="20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Охранник МТО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</w:tr>
      <w:tr>
        <w:trPr>
          <w:trHeight w:val="20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</w:tr>
      <w:tr>
        <w:trPr>
          <w:trHeight w:val="20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6318</w:t>
            </w:r>
          </w:p>
        </w:tc>
      </w:tr>
      <w:tr>
        <w:trPr>
          <w:trHeight w:val="20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</w:tr>
      <w:tr>
        <w:trPr>
          <w:trHeight w:val="20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4293</w:t>
            </w:r>
          </w:p>
        </w:tc>
      </w:tr>
      <w:tr>
        <w:trPr>
          <w:trHeight w:val="20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</w:tr>
      <w:tr>
        <w:trPr>
          <w:trHeight w:val="20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</w:tr>
      <w:tr>
        <w:trPr>
          <w:trHeight w:val="20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округлении размера оклада, округление производится до целого рубля в сторону увеличения.»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    А.Н. Терпелюк</w:t>
      </w:r>
    </w:p>
    <w:p>
      <w:pPr>
        <w:pStyle w:val="Normal"/>
        <w:tabs>
          <w:tab w:val="clear" w:pos="708"/>
        </w:tabs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9" w:top="1134" w:footer="0" w:bottom="709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03634287"/>
    </w:sdtPr>
    <w:sdtContent>
      <w:p>
        <w:pPr>
          <w:pStyle w:val="Style21"/>
          <w:jc w:val="center"/>
          <w:rPr>
            <w:color w:val="auto"/>
          </w:rPr>
        </w:pPr>
        <w:r>
          <w:rPr>
            <w:color w:val="auto"/>
          </w:rPr>
        </w:r>
      </w:p>
      <w:p>
        <w:pPr>
          <w:pStyle w:val="Style21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65" w:hanging="1056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515" w:hanging="151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2366" w:hanging="151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17" w:hanging="1515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68" w:hanging="1515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19" w:hanging="1515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70" w:hanging="1515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WenQuanYi Micro Hei" w:ascii="Calibri" w:hAnsi="Calibri" w:cs="Times New Roman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tabs>
        <w:tab w:val="left" w:pos="0" w:leader="none"/>
        <w:tab w:val="left" w:pos="708" w:leader="none"/>
      </w:tabs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380600"/>
    <w:rPr>
      <w:rFonts w:eastAsia="WenQuanYi Micro Hei"/>
      <w:color w:val="00000A"/>
      <w:sz w:val="22"/>
      <w:szCs w:val="22"/>
    </w:rPr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380600"/>
    <w:rPr>
      <w:rFonts w:eastAsia="WenQuanYi Micro Hei"/>
      <w:color w:val="00000A"/>
      <w:sz w:val="22"/>
      <w:szCs w:val="22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e2384c"/>
    <w:rPr>
      <w:rFonts w:ascii="Tahoma" w:hAnsi="Tahoma" w:eastAsia="WenQuanYi Micro Hei" w:cs="Tahoma"/>
      <w:color w:val="00000A"/>
      <w:sz w:val="16"/>
      <w:szCs w:val="1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ar-SA" w:val="ru-RU" w:bidi="ar-SA"/>
    </w:rPr>
  </w:style>
  <w:style w:type="paragraph" w:styleId="Style20" w:customStyle="1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854ca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/>
      <w:color w:val="auto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e238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df18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041E-F356-4B68-868B-973B4616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LibreOffice/7.5.4.2$Windows_X86_64 LibreOffice_project/36ccfdc35048b057fd9854c757a8b67ec53977b6</Application>
  <AppVersion>15.0000</AppVersion>
  <Pages>5</Pages>
  <Words>583</Words>
  <Characters>4314</Characters>
  <CharactersWithSpaces>4885</CharactersWithSpaces>
  <Paragraphs>110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2024-08-28T06:33:00Z</dcterms:created>
  <dc:creator>annache</dc:creator>
  <dc:description/>
  <dc:language>ru-RU</dc:language>
  <cp:lastModifiedBy/>
  <cp:lastPrinted>2024-08-12T11:26:00Z</cp:lastPrinted>
  <dcterms:modified xsi:type="dcterms:W3CDTF">2024-08-29T14:02:34Z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