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1833, от 16 апреля 2024 года №400)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приказом Министерства труда и социальной защиты Российской Федерации от 12 февраля 2020г. №59н, утверждающим профессиональный стандарт «Специалист по работе с молодежью», в связи с необходимостью оптимизации организационно-штатной структуры МКУ «Молодежный центр» муниципального образования Кореновский район, администрация муниципального образования Кореновский  район  п о с т а н о в л я е т:</w:t>
      </w:r>
    </w:p>
    <w:p>
      <w:pPr>
        <w:pStyle w:val="ListParagraph"/>
        <w:numPr>
          <w:ilvl w:val="0"/>
          <w:numId w:val="1"/>
        </w:numPr>
        <w:tabs>
          <w:tab w:val="left" w:pos="708" w:leader="none"/>
          <w:tab w:val="left" w:pos="1134" w:leader="none"/>
          <w:tab w:val="left" w:pos="1276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1833, от 16 апреля 2024 года №400) следующие изменения:</w:t>
      </w:r>
    </w:p>
    <w:p>
      <w:pPr>
        <w:pStyle w:val="ListParagraph"/>
        <w:numPr>
          <w:ilvl w:val="1"/>
          <w:numId w:val="3"/>
        </w:numPr>
        <w:tabs>
          <w:tab w:val="left" w:pos="708" w:leader="none"/>
          <w:tab w:val="left" w:pos="1134" w:leader="none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tabs>
          <w:tab w:val="clear" w:pos="708"/>
        </w:tabs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37"/>
        <w:gridCol w:w="142"/>
        <w:gridCol w:w="3119"/>
        <w:gridCol w:w="141"/>
      </w:tblGrid>
      <w:tr>
        <w:trPr>
          <w:trHeight w:val="335" w:hRule="atLeast"/>
        </w:trPr>
        <w:tc>
          <w:tcPr>
            <w:tcW w:w="63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70" w:hRule="exact"/>
        </w:trPr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/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1833, от 16 апреля 2024 года №400)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военно - патриотическому воспитанию несовершеннолетних и молодежи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духовно - нравственному воспитанию несовершеннолетних и молодежи, профилактике экстремизма, терроризма и гармонизации межнациональных отношений в молодежной среде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профилактике антинаркотической деятельности среди несовершеннолетних и молодежи, взаимодействию с правоохранительными органами и органами системы профилактики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кадровой работе и документационному обеспечению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индивидуальной профилактической работе с несовершеннолетними, молодежью и семьями, состоящими на ведомственных учетах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волонтерской деятельности, экологическому воспитанию и социальной активности несовершеннолетних и молодежи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пропаганде здорового образа жизни, экстремальных видов спорта, туризма, трудовому воспитанию и оздоровлению среди   несовершеннолетних и молодежи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вовлечению в творческую деятельность  несовершеннолетних и молодежи и взаимодействию с органами молодежного самоуправления, молодежному предпринимательству и грантовой деятельности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сбору, обобщению и распределению информации о реализации молодежной политики на территории муниципального образования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Терпелюк</w:t>
      </w:r>
    </w:p>
    <w:p>
      <w:pPr>
        <w:pStyle w:val="Normal"/>
        <w:tabs>
          <w:tab w:val="clear" w:pos="708"/>
        </w:tabs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08278150"/>
    </w:sdtPr>
    <w:sdtContent>
      <w:p>
        <w:pPr>
          <w:pStyle w:val="Style21"/>
          <w:jc w:val="center"/>
          <w:rPr>
            <w:color w:val="auto"/>
          </w:rPr>
        </w:pPr>
        <w:r>
          <w:rPr>
            <w:color w:val="auto"/>
          </w:rPr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65" w:hanging="105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515" w:hanging="151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366" w:hanging="151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17" w:hanging="151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68" w:hanging="1515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19" w:hanging="1515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70" w:hanging="151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tabs>
        <w:tab w:val="left" w:pos="0" w:leader="none"/>
        <w:tab w:val="left" w:pos="708" w:leader="none"/>
      </w:tabs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df18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E0EE-10F2-4575-BEB3-9BED3E39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LibreOffice/7.5.4.2$Windows_X86_64 LibreOffice_project/36ccfdc35048b057fd9854c757a8b67ec53977b6</Application>
  <AppVersion>15.0000</AppVersion>
  <Pages>5</Pages>
  <Words>577</Words>
  <Characters>4412</Characters>
  <CharactersWithSpaces>4973</CharactersWithSpaces>
  <Paragraphs>109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2024-08-12T11:19:00Z</dcterms:created>
  <dc:creator>annache</dc:creator>
  <dc:description/>
  <dc:language>ru-RU</dc:language>
  <cp:lastModifiedBy/>
  <cp:lastPrinted>2024-08-12T11:26:00Z</cp:lastPrinted>
  <dcterms:modified xsi:type="dcterms:W3CDTF">2024-08-13T11:57:17Z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