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4428" w:leader="none"/>
        </w:tabs>
        <w:ind w:left="-1608" w:hanging="0"/>
        <w:rPr>
          <w:sz w:val="20"/>
        </w:rPr>
      </w:pPr>
      <w:r>
        <w:rPr>
          <w:position w:val="124"/>
          <w:sz w:val="20"/>
        </w:rPr>
        <w:tab/>
      </w:r>
    </w:p>
    <w:p>
      <w:pPr>
        <w:pStyle w:val="Style22"/>
        <w:spacing w:before="3" w:after="0"/>
        <w:rPr>
          <w:sz w:val="18"/>
        </w:rPr>
      </w:pPr>
      <w:r>
        <w:rPr>
          <w:sz w:val="18"/>
        </w:rPr>
      </w:r>
    </w:p>
    <w:p>
      <w:pPr>
        <w:pStyle w:val="Style22"/>
        <w:rPr>
          <w:sz w:val="26"/>
        </w:rPr>
      </w:pPr>
      <w:r>
        <w:rPr>
          <w:sz w:val="26"/>
        </w:rPr>
      </w:r>
      <w:bookmarkStart w:id="0" w:name="АДМИНИСТРАЦИЯ_МУНИЦИПАЛЬНОГО_ОБРАЗОВАНИЯ"/>
      <w:bookmarkStart w:id="1" w:name="АДМИНИСТРАЦИЯ_МУНИЦИПАЛЬНОГО_ОБРАЗОВАНИЯ"/>
      <w:bookmarkEnd w:id="1"/>
    </w:p>
    <w:p>
      <w:pPr>
        <w:pStyle w:val="1"/>
        <w:spacing w:before="1" w:after="0"/>
        <w:ind w:left="976" w:right="267" w:firstLine="320"/>
        <w:jc w:val="right"/>
        <w:rPr/>
      </w:pPr>
      <w:bookmarkStart w:id="2" w:name="О_Порядке_разработки_и_утверждения_бюдже"/>
      <w:bookmarkEnd w:id="2"/>
      <w:r>
        <w:rPr/>
        <w:t>ПРОЕКТ</w:t>
      </w:r>
    </w:p>
    <w:p>
      <w:pPr>
        <w:pStyle w:val="1"/>
        <w:spacing w:before="1" w:after="0"/>
        <w:ind w:left="976" w:right="267" w:firstLine="320"/>
        <w:rPr/>
      </w:pPr>
      <w:r>
        <w:rPr/>
      </w:r>
    </w:p>
    <w:p>
      <w:pPr>
        <w:pStyle w:val="1"/>
        <w:spacing w:before="1" w:after="0"/>
        <w:ind w:left="976" w:right="267" w:firstLine="320"/>
        <w:rPr/>
      </w:pPr>
      <w:r>
        <w:rPr/>
      </w:r>
    </w:p>
    <w:p>
      <w:pPr>
        <w:pStyle w:val="1"/>
        <w:spacing w:before="1" w:after="0"/>
        <w:ind w:left="976" w:right="267" w:firstLine="320"/>
        <w:rPr/>
      </w:pPr>
      <w:r>
        <w:rPr/>
      </w:r>
    </w:p>
    <w:p>
      <w:pPr>
        <w:pStyle w:val="1"/>
        <w:spacing w:before="1" w:after="0"/>
        <w:ind w:left="976" w:right="267" w:firstLine="320"/>
        <w:rPr/>
      </w:pPr>
      <w:r>
        <w:rPr/>
      </w:r>
    </w:p>
    <w:p>
      <w:pPr>
        <w:pStyle w:val="1"/>
        <w:spacing w:before="1" w:after="0"/>
        <w:ind w:left="976" w:right="267" w:firstLine="320"/>
        <w:rPr/>
      </w:pPr>
      <w:r>
        <w:rPr/>
      </w:r>
    </w:p>
    <w:p>
      <w:pPr>
        <w:pStyle w:val="1"/>
        <w:spacing w:before="1" w:after="0"/>
        <w:ind w:left="976" w:right="267" w:firstLine="320"/>
        <w:rPr/>
      </w:pPr>
      <w:r>
        <w:rPr/>
      </w:r>
    </w:p>
    <w:p>
      <w:pPr>
        <w:pStyle w:val="1"/>
        <w:spacing w:before="1" w:after="0"/>
        <w:ind w:left="976" w:right="267" w:firstLine="320"/>
        <w:rPr/>
      </w:pPr>
      <w:r>
        <w:rPr/>
      </w:r>
    </w:p>
    <w:p>
      <w:pPr>
        <w:pStyle w:val="1"/>
        <w:ind w:left="0" w:hanging="0"/>
        <w:jc w:val="center"/>
        <w:outlineLvl w:val="9"/>
        <w:rPr/>
      </w:pPr>
      <w:r>
        <w:rPr/>
        <w:t>Об утверждении Порядка привлечения остатков средств на единый счет бюджета муниципального</w:t>
      </w:r>
      <w:r>
        <w:rPr>
          <w:spacing w:val="-14"/>
        </w:rPr>
        <w:t xml:space="preserve"> </w:t>
      </w:r>
      <w:r>
        <w:rPr/>
        <w:t>образования</w:t>
      </w:r>
      <w:r>
        <w:rPr>
          <w:spacing w:val="-14"/>
        </w:rPr>
        <w:t xml:space="preserve"> </w:t>
      </w:r>
      <w:r>
        <w:rPr/>
        <w:t>Кореновский</w:t>
      </w:r>
      <w:r>
        <w:rPr>
          <w:spacing w:val="-14"/>
        </w:rPr>
        <w:t xml:space="preserve"> </w:t>
      </w:r>
      <w:r>
        <w:rPr/>
        <w:t>район</w:t>
      </w:r>
      <w:r>
        <w:rPr>
          <w:spacing w:val="-11"/>
        </w:rPr>
        <w:t xml:space="preserve"> </w:t>
      </w:r>
      <w:r>
        <w:rPr/>
        <w:t>и возврата привлеченных средств</w:t>
      </w:r>
    </w:p>
    <w:p>
      <w:pPr>
        <w:pStyle w:val="Style22"/>
        <w:spacing w:before="4" w:after="0"/>
        <w:rPr>
          <w:b/>
          <w:sz w:val="27"/>
        </w:rPr>
      </w:pPr>
      <w:r>
        <w:rPr>
          <w:b/>
          <w:sz w:val="27"/>
        </w:rPr>
      </w:r>
    </w:p>
    <w:p>
      <w:pPr>
        <w:pStyle w:val="ConsPlusNormal"/>
        <w:widowControl/>
        <w:snapToGrid w:val="false"/>
        <w:spacing w:lineRule="auto" w:line="240"/>
        <w:ind w:firstLine="709"/>
        <w:jc w:val="both"/>
        <w:rPr>
          <w:rFonts w:ascii="Times New Roman" w:hAnsi="Times New Roman" w:cs="Times New Roman"/>
          <w:sz w:val="28"/>
          <w:szCs w:val="28"/>
        </w:rPr>
      </w:pPr>
      <w:r>
        <w:rPr>
          <w:rFonts w:cs="Times New Roman" w:ascii="Times New Roman" w:hAnsi="Times New Roman"/>
          <w:sz w:val="28"/>
          <w:szCs w:val="28"/>
          <w:lang w:eastAsia="en-US"/>
        </w:rPr>
        <w:t xml:space="preserve">В соответствии с пунктами 10, 12, 13 статьи 236.1 Бюджетного кодекса Российской Федерации, постановлением Правительства Российской Федерации от30.03.2020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w:t>
      </w:r>
      <w:r>
        <w:rPr>
          <w:rFonts w:cs="Times New Roman" w:ascii="Times New Roman" w:hAnsi="Times New Roman"/>
          <w:sz w:val="28"/>
          <w:szCs w:val="28"/>
          <w:lang w:eastAsia="en-US"/>
        </w:rPr>
        <w:t>необходимо</w:t>
      </w:r>
      <w:r>
        <w:rPr>
          <w:rFonts w:cs="Times New Roman" w:ascii="Times New Roman" w:hAnsi="Times New Roman"/>
          <w:sz w:val="28"/>
          <w:szCs w:val="28"/>
          <w:lang w:eastAsia="en-US"/>
        </w:rPr>
        <w:t>:</w:t>
      </w:r>
    </w:p>
    <w:p>
      <w:pPr>
        <w:pStyle w:val="Normal"/>
        <w:ind w:firstLine="709"/>
        <w:jc w:val="both"/>
        <w:rPr>
          <w:sz w:val="28"/>
        </w:rPr>
      </w:pPr>
      <w:r>
        <w:rPr>
          <w:sz w:val="28"/>
        </w:rPr>
        <w:t>1. Утвердить</w:t>
      </w:r>
      <w:r>
        <w:rPr>
          <w:color w:val="00007F"/>
          <w:spacing w:val="1"/>
          <w:sz w:val="28"/>
        </w:rPr>
        <w:t xml:space="preserve"> </w:t>
      </w:r>
      <w:r>
        <w:rPr>
          <w:sz w:val="28"/>
          <w:szCs w:val="28"/>
        </w:rPr>
        <w:t>Порядок</w:t>
      </w:r>
      <w:r>
        <w:rPr>
          <w:spacing w:val="1"/>
          <w:sz w:val="28"/>
          <w:szCs w:val="28"/>
        </w:rPr>
        <w:t xml:space="preserve"> </w:t>
      </w:r>
      <w:r>
        <w:rPr>
          <w:sz w:val="28"/>
          <w:szCs w:val="28"/>
        </w:rPr>
        <w:t xml:space="preserve">привлечения остатков средств на единый счет бюджета муниципального образования Кореновский район </w:t>
      </w:r>
      <w:r>
        <w:rPr>
          <w:spacing w:val="1"/>
          <w:sz w:val="24"/>
        </w:rPr>
        <w:t xml:space="preserve"> </w:t>
      </w:r>
      <w:r>
        <w:rPr>
          <w:sz w:val="28"/>
        </w:rPr>
        <w:t>муниципального</w:t>
      </w:r>
      <w:r>
        <w:rPr>
          <w:spacing w:val="1"/>
          <w:sz w:val="28"/>
        </w:rPr>
        <w:t xml:space="preserve"> </w:t>
      </w:r>
      <w:r>
        <w:rPr>
          <w:sz w:val="28"/>
        </w:rPr>
        <w:t>образования</w:t>
      </w:r>
      <w:r>
        <w:rPr>
          <w:spacing w:val="1"/>
          <w:sz w:val="28"/>
        </w:rPr>
        <w:t xml:space="preserve"> </w:t>
      </w:r>
      <w:r>
        <w:rPr>
          <w:sz w:val="28"/>
        </w:rPr>
        <w:t>Кореновский</w:t>
      </w:r>
      <w:r>
        <w:rPr>
          <w:spacing w:val="1"/>
          <w:sz w:val="28"/>
        </w:rPr>
        <w:t xml:space="preserve"> </w:t>
      </w:r>
      <w:r>
        <w:rPr>
          <w:sz w:val="28"/>
        </w:rPr>
        <w:t>район</w:t>
      </w:r>
      <w:r>
        <w:rPr>
          <w:spacing w:val="1"/>
          <w:sz w:val="28"/>
        </w:rPr>
        <w:t xml:space="preserve"> и возврата привлеченных средств </w:t>
      </w:r>
      <w:r>
        <w:rPr>
          <w:sz w:val="28"/>
        </w:rPr>
        <w:t>(прилагается).</w:t>
      </w:r>
    </w:p>
    <w:p>
      <w:pPr>
        <w:pStyle w:val="Normal"/>
        <w:ind w:firstLine="709"/>
        <w:jc w:val="both"/>
        <w:rPr>
          <w:sz w:val="28"/>
        </w:rPr>
      </w:pPr>
      <w:r>
        <w:rPr>
          <w:sz w:val="28"/>
        </w:rPr>
        <w:t>2. Признать утратившим силу постановление администрации муниципального образования Кореновский район от 10 июня 2021 года                   № 651 «О Порядке привлечения остатков на единый счет местного бюджета и возврата привлеченных средств».</w:t>
      </w:r>
    </w:p>
    <w:p>
      <w:pPr>
        <w:pStyle w:val="Normal"/>
        <w:tabs>
          <w:tab w:val="clear" w:pos="720"/>
          <w:tab w:val="left" w:pos="993" w:leader="none"/>
        </w:tabs>
        <w:ind w:firstLine="709"/>
        <w:jc w:val="both"/>
        <w:rPr>
          <w:spacing w:val="6"/>
          <w:sz w:val="28"/>
          <w:szCs w:val="28"/>
        </w:rPr>
      </w:pPr>
      <w:r>
        <w:rPr>
          <w:sz w:val="28"/>
          <w:szCs w:val="28"/>
        </w:rPr>
        <w:t>3.</w:t>
      </w:r>
      <w:r>
        <w:rPr>
          <w:spacing w:val="2"/>
          <w:sz w:val="28"/>
          <w:szCs w:val="28"/>
        </w:rPr>
        <w:t xml:space="preserve"> </w:t>
      </w:r>
      <w:r>
        <w:rPr>
          <w:color w:val="000000"/>
          <w:sz w:val="28"/>
          <w:szCs w:val="28"/>
          <w:lang w:eastAsia="zh-CN"/>
        </w:rPr>
        <w:t>Управлению службы протокола и информационной политики администрации муниципального образования Кореновский район официально о</w:t>
      </w:r>
      <w:r>
        <w:rPr>
          <w:color w:val="000000"/>
          <w:sz w:val="28"/>
          <w:szCs w:val="28"/>
        </w:rPr>
        <w:t xml:space="preserve">бнародовать настоящее постановление и разместить в </w:t>
      </w:r>
      <w:r>
        <w:rPr>
          <w:color w:val="000000"/>
          <w:spacing w:val="-1"/>
          <w:sz w:val="28"/>
          <w:szCs w:val="28"/>
          <w:shd w:fill="FFFFFF" w:val="clear"/>
        </w:rPr>
        <w:t>информационно - телекоммуникационной сети «Интернет» на официальном сайте администрации  муниципального  образования  Кореновский район</w:t>
      </w:r>
      <w:r>
        <w:rPr>
          <w:spacing w:val="6"/>
          <w:sz w:val="28"/>
          <w:szCs w:val="28"/>
        </w:rPr>
        <w:t>.</w:t>
      </w:r>
    </w:p>
    <w:p>
      <w:pPr>
        <w:pStyle w:val="Normal"/>
        <w:tabs>
          <w:tab w:val="clear" w:pos="720"/>
          <w:tab w:val="left" w:pos="993" w:leader="none"/>
        </w:tabs>
        <w:ind w:firstLine="709"/>
        <w:jc w:val="both"/>
        <w:rPr>
          <w:sz w:val="28"/>
          <w:szCs w:val="28"/>
        </w:rPr>
      </w:pPr>
      <w:r>
        <w:rPr>
          <w:sz w:val="28"/>
          <w:szCs w:val="28"/>
        </w:rPr>
        <w:t>4. Контроль за выполнением настоящего постановления возложить на заместителя главы муниципального образования Кореновский район               С.В. Колупайко.</w:t>
      </w:r>
    </w:p>
    <w:p>
      <w:pPr>
        <w:pStyle w:val="Normal"/>
        <w:tabs>
          <w:tab w:val="clear" w:pos="720"/>
          <w:tab w:val="left" w:pos="993" w:leader="none"/>
        </w:tabs>
        <w:ind w:firstLine="709"/>
        <w:jc w:val="both"/>
        <w:rPr>
          <w:sz w:val="28"/>
          <w:szCs w:val="28"/>
        </w:rPr>
      </w:pPr>
      <w:r>
        <w:rPr>
          <w:sz w:val="28"/>
          <w:szCs w:val="28"/>
        </w:rPr>
        <w:t>5. Постановление вступает в силу после его официального обнародования, но не ранее 1 января 2025 года.</w:t>
      </w:r>
    </w:p>
    <w:p>
      <w:pPr>
        <w:pStyle w:val="Style22"/>
        <w:rPr>
          <w:sz w:val="24"/>
          <w:szCs w:val="24"/>
        </w:rPr>
      </w:pPr>
      <w:r>
        <w:rPr>
          <w:sz w:val="24"/>
          <w:szCs w:val="24"/>
        </w:rPr>
      </w:r>
    </w:p>
    <w:p>
      <w:pPr>
        <w:pStyle w:val="Style22"/>
        <w:rPr>
          <w:sz w:val="23"/>
        </w:rPr>
      </w:pPr>
      <w:r>
        <w:rPr>
          <w:sz w:val="23"/>
        </w:rPr>
      </w:r>
    </w:p>
    <w:tbl>
      <w:tblPr>
        <w:tblW w:w="9714" w:type="dxa"/>
        <w:jc w:val="left"/>
        <w:tblInd w:w="108" w:type="dxa"/>
        <w:tblLayout w:type="fixed"/>
        <w:tblCellMar>
          <w:top w:w="0" w:type="dxa"/>
          <w:left w:w="108" w:type="dxa"/>
          <w:bottom w:w="0" w:type="dxa"/>
          <w:right w:w="108" w:type="dxa"/>
        </w:tblCellMar>
        <w:tblLook w:val="04a0"/>
      </w:tblPr>
      <w:tblGrid>
        <w:gridCol w:w="4857"/>
        <w:gridCol w:w="4856"/>
      </w:tblGrid>
      <w:tr>
        <w:trPr/>
        <w:tc>
          <w:tcPr>
            <w:tcW w:w="4857" w:type="dxa"/>
            <w:tcBorders/>
          </w:tcPr>
          <w:p>
            <w:pPr>
              <w:pStyle w:val="Normal"/>
              <w:widowControl w:val="false"/>
              <w:spacing w:lineRule="atLeast" w:line="100"/>
              <w:jc w:val="both"/>
              <w:rPr>
                <w:sz w:val="28"/>
                <w:szCs w:val="28"/>
                <w:lang w:eastAsia="ru-RU"/>
              </w:rPr>
            </w:pPr>
            <w:r>
              <w:rPr>
                <w:sz w:val="28"/>
                <w:szCs w:val="28"/>
                <w:lang w:eastAsia="ru-RU"/>
              </w:rPr>
              <w:t>Глава</w:t>
            </w:r>
          </w:p>
          <w:p>
            <w:pPr>
              <w:pStyle w:val="Normal"/>
              <w:widowControl w:val="false"/>
              <w:spacing w:lineRule="atLeast" w:line="100"/>
              <w:jc w:val="both"/>
              <w:rPr>
                <w:sz w:val="28"/>
                <w:szCs w:val="28"/>
                <w:lang w:eastAsia="ru-RU"/>
              </w:rPr>
            </w:pPr>
            <w:r>
              <w:rPr>
                <w:sz w:val="28"/>
                <w:szCs w:val="28"/>
                <w:lang w:eastAsia="ru-RU"/>
              </w:rPr>
              <w:t xml:space="preserve">муниципального образования </w:t>
            </w:r>
          </w:p>
          <w:p>
            <w:pPr>
              <w:pStyle w:val="Normal"/>
              <w:widowControl w:val="false"/>
              <w:spacing w:lineRule="atLeast" w:line="100"/>
              <w:jc w:val="both"/>
              <w:rPr>
                <w:sz w:val="28"/>
                <w:szCs w:val="28"/>
                <w:lang w:eastAsia="ru-RU"/>
              </w:rPr>
            </w:pPr>
            <w:r>
              <w:rPr>
                <w:sz w:val="28"/>
                <w:szCs w:val="28"/>
                <w:lang w:eastAsia="ru-RU"/>
              </w:rPr>
              <w:t>Кореновский район</w:t>
            </w:r>
          </w:p>
        </w:tc>
        <w:tc>
          <w:tcPr>
            <w:tcW w:w="4856" w:type="dxa"/>
            <w:tcBorders/>
          </w:tcPr>
          <w:p>
            <w:pPr>
              <w:pStyle w:val="Normal"/>
              <w:widowControl w:val="false"/>
              <w:spacing w:lineRule="atLeast" w:line="100"/>
              <w:jc w:val="both"/>
              <w:rPr>
                <w:sz w:val="28"/>
                <w:szCs w:val="28"/>
                <w:lang w:eastAsia="ru-RU"/>
              </w:rPr>
            </w:pPr>
            <w:r>
              <w:rPr>
                <w:sz w:val="28"/>
                <w:szCs w:val="28"/>
                <w:lang w:eastAsia="ru-RU"/>
              </w:rPr>
              <w:t xml:space="preserve">    </w:t>
            </w:r>
          </w:p>
          <w:p>
            <w:pPr>
              <w:pStyle w:val="Normal"/>
              <w:widowControl w:val="false"/>
              <w:spacing w:lineRule="atLeast" w:line="100"/>
              <w:jc w:val="both"/>
              <w:rPr>
                <w:sz w:val="28"/>
                <w:szCs w:val="28"/>
                <w:lang w:eastAsia="ru-RU"/>
              </w:rPr>
            </w:pPr>
            <w:r>
              <w:rPr>
                <w:sz w:val="28"/>
                <w:szCs w:val="28"/>
                <w:lang w:eastAsia="ru-RU"/>
              </w:rPr>
            </w:r>
          </w:p>
          <w:p>
            <w:pPr>
              <w:pStyle w:val="Normal"/>
              <w:widowControl w:val="false"/>
              <w:spacing w:lineRule="atLeast" w:line="100"/>
              <w:jc w:val="right"/>
              <w:rPr>
                <w:sz w:val="28"/>
                <w:szCs w:val="28"/>
                <w:lang w:eastAsia="ru-RU"/>
              </w:rPr>
            </w:pPr>
            <w:r>
              <w:rPr>
                <w:sz w:val="28"/>
                <w:szCs w:val="28"/>
                <w:lang w:eastAsia="ru-RU"/>
              </w:rPr>
              <w:t>С.А. Голобородько</w:t>
            </w:r>
          </w:p>
        </w:tc>
      </w:tr>
    </w:tbl>
    <w:p>
      <w:pPr>
        <w:sectPr>
          <w:type w:val="nextPage"/>
          <w:pgSz w:w="11906" w:h="16800"/>
          <w:pgMar w:left="1701" w:right="567" w:gutter="0" w:header="0" w:top="1134" w:footer="0" w:bottom="1134"/>
          <w:pgNumType w:fmt="decimal"/>
          <w:formProt w:val="false"/>
          <w:textDirection w:val="lrTb"/>
          <w:docGrid w:type="default" w:linePitch="299" w:charSpace="0"/>
        </w:sectPr>
      </w:pPr>
    </w:p>
    <w:p>
      <w:pPr>
        <w:pStyle w:val="Normal"/>
        <w:rPr>
          <w:sz w:val="20"/>
          <w:szCs w:val="28"/>
        </w:rPr>
      </w:pPr>
      <w:r>
        <w:rPr>
          <w:sz w:val="20"/>
          <w:szCs w:val="28"/>
        </w:rPr>
      </w:r>
    </w:p>
    <w:tbl>
      <w:tblPr>
        <w:tblW w:w="9848" w:type="dxa"/>
        <w:jc w:val="left"/>
        <w:tblInd w:w="108" w:type="dxa"/>
        <w:tblLayout w:type="fixed"/>
        <w:tblCellMar>
          <w:top w:w="0" w:type="dxa"/>
          <w:left w:w="108" w:type="dxa"/>
          <w:bottom w:w="0" w:type="dxa"/>
          <w:right w:w="108" w:type="dxa"/>
        </w:tblCellMar>
        <w:tblLook w:val="04a0"/>
      </w:tblPr>
      <w:tblGrid>
        <w:gridCol w:w="4923"/>
        <w:gridCol w:w="4924"/>
      </w:tblGrid>
      <w:tr>
        <w:trPr/>
        <w:tc>
          <w:tcPr>
            <w:tcW w:w="4923" w:type="dxa"/>
            <w:tcBorders/>
          </w:tcPr>
          <w:p>
            <w:pPr>
              <w:pStyle w:val="Normal"/>
              <w:widowControl w:val="false"/>
              <w:rPr>
                <w:b/>
                <w:sz w:val="28"/>
                <w:szCs w:val="28"/>
                <w:lang w:eastAsia="ru-RU"/>
              </w:rPr>
            </w:pPr>
            <w:r>
              <w:rPr>
                <w:b/>
                <w:sz w:val="28"/>
                <w:szCs w:val="28"/>
                <w:lang w:eastAsia="ru-RU"/>
              </w:rPr>
            </w:r>
          </w:p>
        </w:tc>
        <w:tc>
          <w:tcPr>
            <w:tcW w:w="4924" w:type="dxa"/>
            <w:tcBorders/>
          </w:tcPr>
          <w:p>
            <w:pPr>
              <w:pStyle w:val="Normal"/>
              <w:widowControl w:val="false"/>
              <w:jc w:val="center"/>
              <w:rPr>
                <w:sz w:val="28"/>
                <w:szCs w:val="28"/>
                <w:lang w:eastAsia="ru-RU"/>
              </w:rPr>
            </w:pPr>
            <w:r>
              <w:rPr>
                <w:sz w:val="28"/>
                <w:szCs w:val="28"/>
                <w:lang w:eastAsia="ru-RU"/>
              </w:rPr>
              <w:t>УТВЕРЖДЕН</w:t>
              <w:br/>
              <w:t>постановлением администрации</w:t>
              <w:br/>
              <w:t>муниципального образования</w:t>
              <w:br/>
              <w:t>Кореновский район</w:t>
            </w:r>
          </w:p>
          <w:p>
            <w:pPr>
              <w:pStyle w:val="Normal"/>
              <w:widowControl w:val="false"/>
              <w:jc w:val="center"/>
              <w:rPr>
                <w:sz w:val="28"/>
                <w:szCs w:val="28"/>
                <w:lang w:eastAsia="ru-RU"/>
              </w:rPr>
            </w:pPr>
            <w:r>
              <w:rPr>
                <w:sz w:val="28"/>
                <w:szCs w:val="28"/>
                <w:lang w:eastAsia="ru-RU"/>
              </w:rPr>
              <w:t>от_____________№________</w:t>
            </w:r>
          </w:p>
          <w:p>
            <w:pPr>
              <w:pStyle w:val="Normal"/>
              <w:widowControl w:val="false"/>
              <w:rPr>
                <w:b/>
                <w:sz w:val="28"/>
                <w:szCs w:val="28"/>
                <w:lang w:eastAsia="ru-RU"/>
              </w:rPr>
            </w:pPr>
            <w:r>
              <w:rPr>
                <w:b/>
                <w:sz w:val="28"/>
                <w:szCs w:val="28"/>
                <w:lang w:eastAsia="ru-RU"/>
              </w:rPr>
            </w:r>
          </w:p>
        </w:tc>
      </w:tr>
    </w:tbl>
    <w:p>
      <w:pPr>
        <w:pStyle w:val="Style22"/>
        <w:spacing w:before="5" w:after="0"/>
        <w:rPr>
          <w:sz w:val="35"/>
        </w:rPr>
      </w:pPr>
      <w:r>
        <w:rPr>
          <w:sz w:val="35"/>
        </w:rPr>
      </w:r>
    </w:p>
    <w:p>
      <w:pPr>
        <w:pStyle w:val="Style22"/>
        <w:spacing w:before="5" w:after="0"/>
        <w:rPr>
          <w:sz w:val="35"/>
        </w:rPr>
      </w:pPr>
      <w:r>
        <w:rPr>
          <w:sz w:val="35"/>
        </w:rPr>
      </w:r>
    </w:p>
    <w:p>
      <w:pPr>
        <w:pStyle w:val="Style22"/>
        <w:ind w:left="387" w:right="111" w:hanging="0"/>
        <w:jc w:val="center"/>
        <w:rPr/>
      </w:pPr>
      <w:bookmarkStart w:id="3" w:name="ПОРЯДОК"/>
      <w:bookmarkEnd w:id="3"/>
      <w:r>
        <w:rPr>
          <w:color w:val="25272E"/>
        </w:rPr>
        <w:t>ПОРЯДОК</w:t>
      </w:r>
    </w:p>
    <w:p>
      <w:pPr>
        <w:pStyle w:val="Style22"/>
        <w:jc w:val="center"/>
        <w:rPr/>
      </w:pPr>
      <w:bookmarkStart w:id="4" w:name="разработки_и_утверждения_бюджетного_прог"/>
      <w:bookmarkEnd w:id="4"/>
      <w:r>
        <w:rPr>
          <w:color w:val="25272E"/>
        </w:rPr>
        <w:t>привлечения остатков средств на единый счет бюджета</w:t>
      </w:r>
      <w:r>
        <w:rPr>
          <w:color w:val="25272E"/>
          <w:spacing w:val="-11"/>
        </w:rPr>
        <w:t xml:space="preserve"> </w:t>
      </w:r>
      <w:r>
        <w:rPr>
          <w:color w:val="25272E"/>
        </w:rPr>
        <w:t>муниципального</w:t>
      </w:r>
      <w:r>
        <w:rPr>
          <w:color w:val="25272E"/>
          <w:spacing w:val="-67"/>
        </w:rPr>
        <w:t xml:space="preserve"> </w:t>
      </w:r>
      <w:r>
        <w:rPr>
          <w:color w:val="25272E"/>
        </w:rPr>
        <w:t>образования</w:t>
      </w:r>
      <w:r>
        <w:rPr>
          <w:color w:val="25272E"/>
          <w:spacing w:val="-8"/>
        </w:rPr>
        <w:t xml:space="preserve"> </w:t>
      </w:r>
      <w:r>
        <w:rPr>
          <w:color w:val="25272E"/>
        </w:rPr>
        <w:t>Кореновский</w:t>
      </w:r>
      <w:r>
        <w:rPr>
          <w:color w:val="25272E"/>
          <w:spacing w:val="-7"/>
        </w:rPr>
        <w:t xml:space="preserve"> </w:t>
      </w:r>
      <w:r>
        <w:rPr>
          <w:color w:val="25272E"/>
        </w:rPr>
        <w:t>район</w:t>
      </w:r>
      <w:r>
        <w:rPr>
          <w:color w:val="25272E"/>
          <w:spacing w:val="-6"/>
        </w:rPr>
        <w:t xml:space="preserve"> </w:t>
      </w:r>
      <w:r>
        <w:rPr>
          <w:color w:val="25272E"/>
        </w:rPr>
        <w:t>и возврата привлеченных средств</w:t>
      </w:r>
    </w:p>
    <w:p>
      <w:pPr>
        <w:pStyle w:val="Style22"/>
        <w:rPr>
          <w:sz w:val="30"/>
        </w:rPr>
      </w:pPr>
      <w:r>
        <w:rPr>
          <w:sz w:val="30"/>
        </w:rPr>
      </w:r>
    </w:p>
    <w:p>
      <w:pPr>
        <w:pStyle w:val="Style22"/>
        <w:spacing w:before="5" w:after="0"/>
        <w:rPr>
          <w:sz w:val="27"/>
        </w:rPr>
      </w:pPr>
      <w:r>
        <w:rPr>
          <w:sz w:val="27"/>
        </w:rPr>
      </w:r>
    </w:p>
    <w:p>
      <w:pPr>
        <w:pStyle w:val="Normal"/>
        <w:spacing w:before="0" w:after="0"/>
        <w:ind w:firstLine="709"/>
        <w:contextualSpacing/>
        <w:jc w:val="both"/>
        <w:rPr>
          <w:sz w:val="28"/>
          <w:szCs w:val="28"/>
        </w:rPr>
      </w:pPr>
      <w:r>
        <w:rPr>
          <w:sz w:val="28"/>
        </w:rPr>
        <w:t xml:space="preserve">1. Настоящий Порядок привлечения остатков средств на единый счет бюджета муниципального образования Кореновский район и возврата привлеченных средств (далее – Порядок) </w:t>
      </w:r>
      <w:r>
        <w:rPr>
          <w:sz w:val="28"/>
          <w:szCs w:val="28"/>
        </w:rPr>
        <w:t xml:space="preserve">разработан в соответствии с </w:t>
      </w:r>
      <w:hyperlink r:id="rId2">
        <w:r>
          <w:rPr>
            <w:sz w:val="28"/>
            <w:szCs w:val="28"/>
          </w:rPr>
          <w:t>пунктами 10</w:t>
        </w:r>
      </w:hyperlink>
      <w:r>
        <w:rPr>
          <w:sz w:val="28"/>
          <w:szCs w:val="28"/>
        </w:rPr>
        <w:t xml:space="preserve">, </w:t>
      </w:r>
      <w:hyperlink r:id="rId3">
        <w:r>
          <w:rPr>
            <w:sz w:val="28"/>
            <w:szCs w:val="28"/>
          </w:rPr>
          <w:t>1</w:t>
        </w:r>
      </w:hyperlink>
      <w:r>
        <w:rPr>
          <w:sz w:val="28"/>
          <w:szCs w:val="28"/>
        </w:rPr>
        <w:t xml:space="preserve">2 и </w:t>
      </w:r>
      <w:hyperlink r:id="rId4">
        <w:r>
          <w:rPr>
            <w:sz w:val="28"/>
            <w:szCs w:val="28"/>
          </w:rPr>
          <w:t>13 статьи 236.1</w:t>
        </w:r>
      </w:hyperlink>
      <w:r>
        <w:rPr>
          <w:sz w:val="28"/>
          <w:szCs w:val="28"/>
        </w:rPr>
        <w:t xml:space="preserve"> Бюджетного кодекса Российской Федерации и устанавливает правила привлечения остатков средств </w:t>
      </w:r>
      <w:r>
        <w:rPr>
          <w:sz w:val="28"/>
          <w:szCs w:val="28"/>
          <w:lang w:val="en-US"/>
        </w:rPr>
        <w:t>c</w:t>
      </w:r>
      <w:r>
        <w:rPr>
          <w:sz w:val="28"/>
          <w:szCs w:val="28"/>
        </w:rPr>
        <w:t xml:space="preserve"> казначейских счетов на единый счет бюджета </w:t>
      </w:r>
      <w:r>
        <w:rPr>
          <w:sz w:val="28"/>
        </w:rPr>
        <w:t>муниципального образования Кореновский район</w:t>
      </w:r>
      <w:r>
        <w:rPr>
          <w:sz w:val="28"/>
          <w:szCs w:val="28"/>
        </w:rPr>
        <w:t xml:space="preserve"> (далее – местный бюджет) и их  возврата на казначейские счета, с которых они были ранее перечислены. </w:t>
      </w:r>
    </w:p>
    <w:p>
      <w:pPr>
        <w:pStyle w:val="Normal"/>
        <w:spacing w:before="0" w:after="0"/>
        <w:ind w:firstLine="709"/>
        <w:contextualSpacing/>
        <w:jc w:val="both"/>
        <w:rPr>
          <w:sz w:val="28"/>
          <w:szCs w:val="28"/>
        </w:rPr>
      </w:pPr>
      <w:r>
        <w:rPr>
          <w:sz w:val="28"/>
          <w:szCs w:val="28"/>
        </w:rPr>
        <w:t xml:space="preserve">2. Понятия и термины, используемые в настоящем Порядке, применяются в значениях, определенных Бюджетным </w:t>
      </w:r>
      <w:hyperlink r:id="rId5">
        <w:r>
          <w:rPr>
            <w:sz w:val="28"/>
            <w:szCs w:val="28"/>
          </w:rPr>
          <w:t>кодексом</w:t>
        </w:r>
      </w:hyperlink>
      <w:r>
        <w:rPr>
          <w:sz w:val="28"/>
          <w:szCs w:val="28"/>
        </w:rPr>
        <w:t xml:space="preserve"> Российской Федерации.</w:t>
      </w:r>
    </w:p>
    <w:p>
      <w:pPr>
        <w:pStyle w:val="Normal"/>
        <w:spacing w:before="0" w:after="0"/>
        <w:ind w:firstLine="709"/>
        <w:contextualSpacing/>
        <w:jc w:val="both"/>
        <w:rPr>
          <w:sz w:val="28"/>
          <w:szCs w:val="28"/>
        </w:rPr>
      </w:pPr>
      <w:r>
        <w:rPr>
          <w:sz w:val="28"/>
          <w:szCs w:val="28"/>
        </w:rPr>
        <w:t>3. Привлечение остатков средств на единый счет местного бюджета осуществляется за счет средств на следующих казначейских счетах</w:t>
      </w:r>
      <w:r>
        <w:rPr>
          <w:rStyle w:val="Style18"/>
          <w:sz w:val="28"/>
          <w:szCs w:val="28"/>
        </w:rPr>
        <w:footnoteReference w:id="2"/>
      </w:r>
      <w:r>
        <w:rPr>
          <w:sz w:val="28"/>
          <w:szCs w:val="28"/>
        </w:rPr>
        <w:t xml:space="preserve">, открытых финансовому органу </w:t>
      </w:r>
      <w:r>
        <w:rPr>
          <w:sz w:val="28"/>
        </w:rPr>
        <w:t xml:space="preserve">муниципального образования Кореновский район </w:t>
      </w:r>
      <w:r>
        <w:rPr>
          <w:sz w:val="28"/>
          <w:szCs w:val="28"/>
        </w:rPr>
        <w:t>в Управлении Федерального казначейства по Краснодарскому краю (далее - Управление):</w:t>
      </w:r>
    </w:p>
    <w:p>
      <w:pPr>
        <w:pStyle w:val="Normal"/>
        <w:spacing w:before="0" w:after="0"/>
        <w:ind w:firstLine="709"/>
        <w:contextualSpacing/>
        <w:jc w:val="both"/>
        <w:rPr>
          <w:sz w:val="28"/>
          <w:szCs w:val="28"/>
        </w:rPr>
      </w:pPr>
      <w:r>
        <w:rPr>
          <w:sz w:val="28"/>
          <w:szCs w:val="28"/>
        </w:rPr>
        <w:t>1) казначейский счет для осуществления и отражения операций с денежными средствами, поступающими во временное распоряжение получателей средств местного бюджета;</w:t>
      </w:r>
    </w:p>
    <w:p>
      <w:pPr>
        <w:pStyle w:val="Normal"/>
        <w:spacing w:before="0" w:after="0"/>
        <w:ind w:firstLine="709"/>
        <w:contextualSpacing/>
        <w:jc w:val="both"/>
        <w:rPr>
          <w:sz w:val="28"/>
          <w:szCs w:val="28"/>
        </w:rPr>
      </w:pPr>
      <w:r>
        <w:rPr>
          <w:sz w:val="28"/>
          <w:szCs w:val="28"/>
        </w:rPr>
        <w:t>2) казначейский счет для осуществления и отражения операций с денежными средствами муниципальных бюджетных и автономных учреждений;</w:t>
      </w:r>
    </w:p>
    <w:p>
      <w:pPr>
        <w:pStyle w:val="Normal"/>
        <w:spacing w:before="0" w:after="0"/>
        <w:ind w:firstLine="709"/>
        <w:contextualSpacing/>
        <w:jc w:val="both"/>
        <w:rPr>
          <w:sz w:val="28"/>
          <w:szCs w:val="28"/>
        </w:rPr>
      </w:pPr>
      <w:r>
        <w:rPr>
          <w:sz w:val="28"/>
          <w:szCs w:val="28"/>
        </w:rPr>
        <w:t xml:space="preserve">3) казначейский счет для осуществления и отражения операций с денежными средствами получателей средств из бюджета, источником финансового обеспечения которых являются средства местного бюджета; </w:t>
      </w:r>
    </w:p>
    <w:p>
      <w:pPr>
        <w:pStyle w:val="Normal"/>
        <w:spacing w:before="0" w:after="0"/>
        <w:ind w:firstLine="709"/>
        <w:contextualSpacing/>
        <w:jc w:val="both"/>
        <w:rPr>
          <w:sz w:val="28"/>
          <w:szCs w:val="28"/>
        </w:rPr>
      </w:pPr>
      <w:r>
        <w:rPr>
          <w:sz w:val="28"/>
          <w:szCs w:val="28"/>
        </w:rPr>
        <w:t>4) казначейский счет для осуществления и отражения операций с денежными средствами участников казначейского сопровождения,               источником финансового обеспечения которых являются средства местного бюджета.</w:t>
      </w:r>
    </w:p>
    <w:p>
      <w:pPr>
        <w:pStyle w:val="Normal"/>
        <w:spacing w:before="0" w:after="0"/>
        <w:ind w:firstLine="709"/>
        <w:contextualSpacing/>
        <w:jc w:val="both"/>
        <w:rPr>
          <w:sz w:val="28"/>
          <w:szCs w:val="28"/>
        </w:rPr>
      </w:pPr>
      <w:r>
        <w:rPr>
          <w:sz w:val="28"/>
          <w:szCs w:val="28"/>
        </w:rPr>
        <w:t xml:space="preserve">4. Возврат средств с единого счета местного бюджета осуществляется на соответствующие казначейские счета, указанные в </w:t>
      </w:r>
      <w:hyperlink w:anchor="P50">
        <w:r>
          <w:rPr>
            <w:sz w:val="28"/>
            <w:szCs w:val="28"/>
          </w:rPr>
          <w:t>пункте 3</w:t>
        </w:r>
      </w:hyperlink>
      <w:r>
        <w:rPr>
          <w:sz w:val="28"/>
          <w:szCs w:val="28"/>
        </w:rPr>
        <w:t xml:space="preserve"> настоящего Порядка, с которых они были ранее перечислены.</w:t>
      </w:r>
    </w:p>
    <w:p>
      <w:pPr>
        <w:pStyle w:val="Normal"/>
        <w:spacing w:before="0" w:after="0"/>
        <w:ind w:firstLine="709"/>
        <w:contextualSpacing/>
        <w:jc w:val="both"/>
        <w:rPr>
          <w:sz w:val="28"/>
          <w:szCs w:val="28"/>
        </w:rPr>
      </w:pPr>
      <w:r>
        <w:rPr>
          <w:sz w:val="28"/>
          <w:szCs w:val="28"/>
        </w:rPr>
        <w:t>5. Объем привлекаемых средств, обеспечивающий достаточность средств на соответствующем казначейском счете для осуществления в рабочий день, следующий за днем привлечения средств на единый счет местного                    бюджета, выплат с указанного счета на основании распоряжений о              совершении казначейских платежей (далее соответственно - объем привлекаемых средств, распоряжение), определяется ежедневно, исходя из остатка средств на соответствующем казначейском счете, уменьшенного на сумму средств, необходимых для совершения казначейских платежей на основании распоряжений участников системы казначейских платежей,                        подлежащих исполнению в течение рабочего дня, следующего за днем привлечения средств на единый счет местного бюджета (далее - сумма выплат в рабочий день, следующий за днем привлечения средств на единый счет местного бюджета).</w:t>
      </w:r>
    </w:p>
    <w:p>
      <w:pPr>
        <w:pStyle w:val="Normal"/>
        <w:spacing w:before="0" w:after="0"/>
        <w:ind w:firstLine="709"/>
        <w:contextualSpacing/>
        <w:jc w:val="both"/>
        <w:rPr>
          <w:sz w:val="28"/>
          <w:szCs w:val="28"/>
        </w:rPr>
      </w:pPr>
      <w:r>
        <w:rPr>
          <w:sz w:val="28"/>
          <w:szCs w:val="28"/>
        </w:rPr>
        <w:t>6. В случае если объем привлекаемых средств имеет нулевое или отрицательное значение, то привлечение остатков средств на единый счет местного бюджета за счет средств на соответствующем казначейском счете не осуществляется.</w:t>
      </w:r>
    </w:p>
    <w:p>
      <w:pPr>
        <w:pStyle w:val="Normal"/>
        <w:spacing w:before="0" w:after="0"/>
        <w:ind w:firstLine="709"/>
        <w:contextualSpacing/>
        <w:jc w:val="both"/>
        <w:rPr>
          <w:sz w:val="28"/>
          <w:szCs w:val="28"/>
        </w:rPr>
      </w:pPr>
      <w:r>
        <w:rPr>
          <w:sz w:val="28"/>
          <w:szCs w:val="28"/>
        </w:rPr>
        <w:t xml:space="preserve">7. Перечисление остатков средств с соответствующих казначейских счетов, указанных в </w:t>
      </w:r>
      <w:hyperlink w:anchor="P50">
        <w:r>
          <w:rPr>
            <w:sz w:val="28"/>
            <w:szCs w:val="28"/>
          </w:rPr>
          <w:t>пункте 3</w:t>
        </w:r>
      </w:hyperlink>
      <w:r>
        <w:rPr>
          <w:sz w:val="28"/>
          <w:szCs w:val="28"/>
        </w:rPr>
        <w:t xml:space="preserve"> настоящего Порядка осуществляется Управлением ежедневно на основании распоряжения на перечисление объема привлекаемых средств с соответствующего казначейского счета на                    единый счет местного бюджета, сформированного Управлением не позднее 16 часов местного времени (в дни, непосредственно предшествующие выходным и нерабочим праздничным дням, - до 15 часов местного времени).</w:t>
      </w:r>
    </w:p>
    <w:p>
      <w:pPr>
        <w:pStyle w:val="Normal"/>
        <w:spacing w:before="0" w:after="0"/>
        <w:ind w:firstLine="709"/>
        <w:contextualSpacing/>
        <w:jc w:val="both"/>
        <w:rPr>
          <w:sz w:val="28"/>
          <w:szCs w:val="28"/>
        </w:rPr>
      </w:pPr>
      <w:r>
        <w:rPr>
          <w:sz w:val="28"/>
          <w:szCs w:val="28"/>
        </w:rPr>
        <w:t>8. Объем средств, подлежащих возврату с единого счета местного бюджета на соответствующие казначейские счета, с которых они были ранее перечислены (далее - объем средств, подлежащих возврату), определяется исходя из суммы выплат в рабочий день, следующий за днем привлечения средств на единый счет местного бюджета, уменьшенной на сумму остатка средств на соответствующем казначейском счете.</w:t>
      </w:r>
    </w:p>
    <w:p>
      <w:pPr>
        <w:pStyle w:val="Normal"/>
        <w:spacing w:before="0" w:after="0"/>
        <w:ind w:firstLine="709"/>
        <w:contextualSpacing/>
        <w:jc w:val="both"/>
        <w:rPr>
          <w:sz w:val="28"/>
          <w:szCs w:val="28"/>
        </w:rPr>
      </w:pPr>
      <w:r>
        <w:rPr>
          <w:sz w:val="28"/>
          <w:szCs w:val="28"/>
        </w:rPr>
        <w:t>9. В случае если объем средств, подлежащих возврату, принимает нулевое или отрицательное значение, то возврат средств с                          единого счета местного бюджета на соответствующий казначейский счет не осуществляется.</w:t>
      </w:r>
    </w:p>
    <w:p>
      <w:pPr>
        <w:pStyle w:val="Normal"/>
        <w:spacing w:before="0" w:after="0"/>
        <w:ind w:firstLine="709"/>
        <w:contextualSpacing/>
        <w:jc w:val="both"/>
        <w:rPr>
          <w:sz w:val="28"/>
          <w:szCs w:val="28"/>
        </w:rPr>
      </w:pPr>
      <w:r>
        <w:rPr>
          <w:sz w:val="28"/>
          <w:szCs w:val="28"/>
        </w:rPr>
        <w:t>10. Возврат привлеченных средств на соответствующие казначейские счета, с которых они были ранее перечислены, в том числе в целях проведения операций за счет привлеченных средств, осуществляется не позднее                    второго рабочего дня, следующего за днем приема к исполнению распоряжений участников системы казначейских платежей.</w:t>
      </w:r>
    </w:p>
    <w:p>
      <w:pPr>
        <w:pStyle w:val="Normal"/>
        <w:spacing w:before="0" w:after="0"/>
        <w:ind w:firstLine="709"/>
        <w:contextualSpacing/>
        <w:jc w:val="both"/>
        <w:rPr>
          <w:sz w:val="28"/>
          <w:szCs w:val="28"/>
        </w:rPr>
      </w:pPr>
      <w:r>
        <w:rPr>
          <w:sz w:val="28"/>
          <w:szCs w:val="28"/>
        </w:rPr>
        <w:t>11. Перечисление средств с единого счета местного бюджета на соответствующий казначейский счет осуществляется в пределах суммы, не превышающей разницу между объемом средств, поступивших с               казначейского счета на единый счет местного бюджета, и объемом средств, перечисленных с единого счета местного бюджета на соответствующий казначейский счет.</w:t>
      </w:r>
    </w:p>
    <w:p>
      <w:pPr>
        <w:pStyle w:val="ListParagraph"/>
        <w:tabs>
          <w:tab w:val="clear" w:pos="720"/>
          <w:tab w:val="left" w:pos="1168" w:leader="none"/>
        </w:tabs>
        <w:ind w:left="0" w:right="0" w:firstLine="709"/>
        <w:rPr>
          <w:sz w:val="28"/>
        </w:rPr>
      </w:pPr>
      <w:r>
        <w:rPr>
          <w:sz w:val="28"/>
        </w:rPr>
      </w:r>
    </w:p>
    <w:p>
      <w:pPr>
        <w:pStyle w:val="ListParagraph"/>
        <w:tabs>
          <w:tab w:val="clear" w:pos="720"/>
          <w:tab w:val="left" w:pos="1168" w:leader="none"/>
        </w:tabs>
        <w:ind w:left="0" w:right="0" w:firstLine="709"/>
        <w:rPr>
          <w:sz w:val="28"/>
        </w:rPr>
      </w:pPr>
      <w:r>
        <w:rPr>
          <w:sz w:val="28"/>
        </w:rPr>
      </w:r>
    </w:p>
    <w:p>
      <w:pPr>
        <w:pStyle w:val="Style22"/>
        <w:tabs>
          <w:tab w:val="clear" w:pos="720"/>
          <w:tab w:val="left" w:pos="2280" w:leader="none"/>
        </w:tabs>
        <w:jc w:val="both"/>
        <w:rPr/>
      </w:pPr>
      <w:r>
        <w:rPr/>
        <w:t xml:space="preserve">Начальник финансового </w:t>
      </w:r>
    </w:p>
    <w:p>
      <w:pPr>
        <w:pStyle w:val="Style22"/>
        <w:tabs>
          <w:tab w:val="clear" w:pos="720"/>
          <w:tab w:val="left" w:pos="2280" w:leader="none"/>
        </w:tabs>
        <w:jc w:val="both"/>
        <w:rPr/>
      </w:pPr>
      <w:r>
        <w:rPr/>
        <w:t xml:space="preserve">управления администрации </w:t>
      </w:r>
    </w:p>
    <w:p>
      <w:pPr>
        <w:pStyle w:val="Style22"/>
        <w:tabs>
          <w:tab w:val="clear" w:pos="720"/>
          <w:tab w:val="left" w:pos="2280" w:leader="none"/>
        </w:tabs>
        <w:jc w:val="both"/>
        <w:rPr/>
      </w:pPr>
      <w:r>
        <w:rPr/>
        <w:t>муниципального образования</w:t>
      </w:r>
    </w:p>
    <w:p>
      <w:pPr>
        <w:pStyle w:val="Style22"/>
        <w:tabs>
          <w:tab w:val="clear" w:pos="720"/>
          <w:tab w:val="left" w:pos="2280" w:leader="none"/>
        </w:tabs>
        <w:jc w:val="both"/>
        <w:rPr/>
      </w:pPr>
      <w:r>
        <w:rPr/>
        <w:t>Кореновский район                                                                              А.Н. Терпелюк</w:t>
      </w:r>
    </w:p>
    <w:p>
      <w:pPr>
        <w:pStyle w:val="Style22"/>
        <w:rPr/>
      </w:pPr>
      <w:r>
        <w:rPr/>
      </w:r>
    </w:p>
    <w:p>
      <w:pPr>
        <w:sectPr>
          <w:headerReference w:type="default" r:id="rId6"/>
          <w:footnotePr>
            <w:numFmt w:val="decimal"/>
          </w:footnotePr>
          <w:type w:val="nextPage"/>
          <w:pgSz w:w="11906" w:h="16800"/>
          <w:pgMar w:left="1701" w:right="567" w:gutter="0" w:header="720" w:top="1134" w:footer="0" w:bottom="1134"/>
          <w:pgNumType w:start="1" w:fmt="decimal"/>
          <w:formProt w:val="false"/>
          <w:titlePg/>
          <w:textDirection w:val="lrTb"/>
          <w:docGrid w:type="default" w:linePitch="299" w:charSpace="0"/>
        </w:sectPr>
      </w:pPr>
    </w:p>
    <w:p>
      <w:pPr>
        <w:pStyle w:val="Style22"/>
        <w:spacing w:before="1" w:after="0"/>
        <w:ind w:left="103" w:hanging="0"/>
        <w:rPr/>
      </w:pPr>
      <w:r>
        <w:rPr/>
      </w:r>
    </w:p>
    <w:p>
      <w:pPr>
        <w:pStyle w:val="Style22"/>
        <w:spacing w:before="1" w:after="0"/>
        <w:ind w:left="103" w:hanging="0"/>
        <w:rPr/>
      </w:pPr>
      <w:r>
        <w:rPr/>
      </w:r>
    </w:p>
    <w:sectPr>
      <w:footnotePr>
        <w:numFmt w:val="decimal"/>
      </w:footnotePr>
      <w:type w:val="continuous"/>
      <w:pgSz w:w="11906" w:h="16800"/>
      <w:pgMar w:left="1701" w:right="567" w:gutter="0" w:header="720" w:top="1134" w:footer="0" w:bottom="1134"/>
      <w:cols w:num="2" w:equalWidth="false" w:sep="false">
        <w:col w:w="3261" w:space="1486"/>
        <w:col w:w="4890"/>
      </w:cols>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0"/>
        <w:rPr/>
      </w:pPr>
      <w:r>
        <w:rPr>
          <w:rStyle w:val="Style17"/>
        </w:rPr>
        <w:footnoteRef/>
      </w:r>
      <w:r>
        <w:rPr/>
        <w:t xml:space="preserve"> </w:t>
      </w:r>
      <w:r>
        <w:rPr/>
        <w:t>Перечень счетов определяет соответствующий финансовый орган</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3</w:t>
    </w:r>
    <w:r>
      <w:rPr>
        <w:sz w:val="28"/>
        <w:szCs w:val="28"/>
      </w:rPr>
      <w:fldChar w:fldCharType="end"/>
    </w:r>
  </w:p>
  <w:p>
    <w:pPr>
      <w:pStyle w:val="Style28"/>
      <w:rPr>
        <w:sz w:val="28"/>
        <w:szCs w:val="28"/>
      </w:rPr>
    </w:pPr>
    <w:r>
      <w:rPr>
        <w:sz w:val="28"/>
        <w:szCs w:val="28"/>
      </w:rPr>
    </w:r>
  </w:p>
</w:hdr>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7b4910"/>
    <w:pPr>
      <w:widowControl w:val="false"/>
      <w:bidi w:val="0"/>
      <w:spacing w:before="0" w:after="0"/>
      <w:jc w:val="left"/>
    </w:pPr>
    <w:rPr>
      <w:rFonts w:ascii="Times New Roman" w:hAnsi="Times New Roman" w:eastAsia="Times New Roman" w:cs="Times New Roman"/>
      <w:color w:val="auto"/>
      <w:kern w:val="0"/>
      <w:sz w:val="22"/>
      <w:szCs w:val="22"/>
      <w:lang w:eastAsia="en-US" w:val="ru-RU" w:bidi="ar-SA"/>
    </w:rPr>
  </w:style>
  <w:style w:type="paragraph" w:styleId="1" w:customStyle="1">
    <w:name w:val="Heading 1"/>
    <w:basedOn w:val="Normal"/>
    <w:uiPriority w:val="1"/>
    <w:qFormat/>
    <w:rsid w:val="007b4910"/>
    <w:pPr>
      <w:ind w:left="976" w:hanging="2340"/>
      <w:outlineLvl w:val="1"/>
    </w:pPr>
    <w:rPr>
      <w:b/>
      <w:bCs/>
      <w:sz w:val="28"/>
      <w:szCs w:val="28"/>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sid w:val="000956fa"/>
    <w:rPr>
      <w:rFonts w:ascii="Tahoma" w:hAnsi="Tahoma" w:eastAsia="Times New Roman" w:cs="Tahoma"/>
      <w:sz w:val="16"/>
      <w:szCs w:val="16"/>
      <w:lang w:val="ru-RU"/>
    </w:rPr>
  </w:style>
  <w:style w:type="character" w:styleId="Style14" w:customStyle="1">
    <w:name w:val="Верхний колонтитул Знак"/>
    <w:basedOn w:val="DefaultParagraphFont"/>
    <w:uiPriority w:val="99"/>
    <w:qFormat/>
    <w:rsid w:val="00381253"/>
    <w:rPr>
      <w:rFonts w:ascii="Times New Roman" w:hAnsi="Times New Roman" w:eastAsia="Times New Roman" w:cs="Times New Roman"/>
      <w:lang w:val="ru-RU"/>
    </w:rPr>
  </w:style>
  <w:style w:type="character" w:styleId="Style15" w:customStyle="1">
    <w:name w:val="Нижний колонтитул Знак"/>
    <w:basedOn w:val="DefaultParagraphFont"/>
    <w:uiPriority w:val="99"/>
    <w:semiHidden/>
    <w:qFormat/>
    <w:rsid w:val="00381253"/>
    <w:rPr>
      <w:rFonts w:ascii="Times New Roman" w:hAnsi="Times New Roman" w:eastAsia="Times New Roman" w:cs="Times New Roman"/>
      <w:lang w:val="ru-RU"/>
    </w:rPr>
  </w:style>
  <w:style w:type="character" w:styleId="Style16" w:customStyle="1">
    <w:name w:val="Текст сноски Знак"/>
    <w:basedOn w:val="DefaultParagraphFont"/>
    <w:uiPriority w:val="99"/>
    <w:semiHidden/>
    <w:qFormat/>
    <w:rsid w:val="00d7170d"/>
    <w:rPr>
      <w:rFonts w:ascii="Times New Roman" w:hAnsi="Times New Roman" w:eastAsia="Times New Roman"/>
      <w:lang w:eastAsia="en-US"/>
    </w:rPr>
  </w:style>
  <w:style w:type="character" w:styleId="Style17">
    <w:name w:val="Символ сноски"/>
    <w:basedOn w:val="DefaultParagraphFont"/>
    <w:uiPriority w:val="99"/>
    <w:semiHidden/>
    <w:unhideWhenUsed/>
    <w:qFormat/>
    <w:rsid w:val="00d7170d"/>
    <w:rPr>
      <w:vertAlign w:val="superscript"/>
    </w:rPr>
  </w:style>
  <w:style w:type="character" w:styleId="Style18">
    <w:name w:val="Footnote Reference"/>
    <w:rPr>
      <w:vertAlign w:val="superscript"/>
    </w:rPr>
  </w:style>
  <w:style w:type="character" w:styleId="-">
    <w:name w:val="Hyperlink"/>
    <w:rPr>
      <w:color w:val="000080"/>
      <w:u w:val="single"/>
    </w:rPr>
  </w:style>
  <w:style w:type="character" w:styleId="Style19">
    <w:name w:val="Endnote Reference"/>
    <w:rPr>
      <w:vertAlign w:val="superscript"/>
    </w:rPr>
  </w:style>
  <w:style w:type="character" w:styleId="Style20">
    <w:name w:val="Символ концевой сноски"/>
    <w:qFormat/>
    <w:rPr/>
  </w:style>
  <w:style w:type="paragraph" w:styleId="Style2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uiPriority w:val="1"/>
    <w:qFormat/>
    <w:rsid w:val="007b4910"/>
    <w:pPr/>
    <w:rPr>
      <w:sz w:val="28"/>
      <w:szCs w:val="28"/>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Style26">
    <w:name w:val="Title"/>
    <w:basedOn w:val="Normal"/>
    <w:uiPriority w:val="1"/>
    <w:qFormat/>
    <w:rsid w:val="007b4910"/>
    <w:pPr>
      <w:spacing w:before="157" w:after="0"/>
      <w:ind w:left="453" w:right="111" w:hanging="0"/>
      <w:jc w:val="center"/>
    </w:pPr>
    <w:rPr>
      <w:b/>
      <w:bCs/>
      <w:sz w:val="36"/>
      <w:szCs w:val="36"/>
    </w:rPr>
  </w:style>
  <w:style w:type="paragraph" w:styleId="ListParagraph">
    <w:name w:val="List Paragraph"/>
    <w:basedOn w:val="Normal"/>
    <w:uiPriority w:val="1"/>
    <w:qFormat/>
    <w:rsid w:val="007b4910"/>
    <w:pPr>
      <w:ind w:left="104" w:right="117" w:firstLine="720"/>
      <w:jc w:val="both"/>
    </w:pPr>
    <w:rPr/>
  </w:style>
  <w:style w:type="paragraph" w:styleId="TableParagraph" w:customStyle="1">
    <w:name w:val="Table Paragraph"/>
    <w:basedOn w:val="Normal"/>
    <w:uiPriority w:val="1"/>
    <w:qFormat/>
    <w:rsid w:val="007b4910"/>
    <w:pPr/>
    <w:rPr/>
  </w:style>
  <w:style w:type="paragraph" w:styleId="BalloonText">
    <w:name w:val="Balloon Text"/>
    <w:basedOn w:val="Normal"/>
    <w:link w:val="Style13"/>
    <w:uiPriority w:val="99"/>
    <w:semiHidden/>
    <w:unhideWhenUsed/>
    <w:qFormat/>
    <w:rsid w:val="000956fa"/>
    <w:pPr/>
    <w:rPr>
      <w:rFonts w:ascii="Tahoma" w:hAnsi="Tahoma" w:cs="Tahoma"/>
      <w:sz w:val="16"/>
      <w:szCs w:val="16"/>
    </w:rPr>
  </w:style>
  <w:style w:type="paragraph" w:styleId="ConsPlusNormal" w:customStyle="1">
    <w:name w:val="ConsPlusNormal"/>
    <w:qFormat/>
    <w:rsid w:val="000956fa"/>
    <w:pPr>
      <w:widowControl w:val="false"/>
      <w:tabs>
        <w:tab w:val="clear" w:pos="720"/>
        <w:tab w:val="left" w:pos="708" w:leader="none"/>
      </w:tabs>
      <w:suppressAutoHyphens w:val="true"/>
      <w:bidi w:val="0"/>
      <w:spacing w:lineRule="atLeast" w:line="100" w:before="0" w:after="0"/>
      <w:ind w:firstLine="720"/>
      <w:jc w:val="left"/>
    </w:pPr>
    <w:rPr>
      <w:rFonts w:ascii="Arial" w:hAnsi="Arial" w:eastAsia="Arial" w:cs="Arial"/>
      <w:color w:val="00000A"/>
      <w:kern w:val="0"/>
      <w:sz w:val="20"/>
      <w:szCs w:val="20"/>
      <w:lang w:eastAsia="ar-SA" w:val="ru-RU" w:bidi="ar-SA"/>
    </w:rPr>
  </w:style>
  <w:style w:type="paragraph" w:styleId="Style27">
    <w:name w:val="Колонтитул"/>
    <w:basedOn w:val="Normal"/>
    <w:qFormat/>
    <w:pPr/>
    <w:rPr/>
  </w:style>
  <w:style w:type="paragraph" w:styleId="Style28">
    <w:name w:val="Header"/>
    <w:basedOn w:val="Normal"/>
    <w:link w:val="Style14"/>
    <w:uiPriority w:val="99"/>
    <w:unhideWhenUsed/>
    <w:rsid w:val="00381253"/>
    <w:pPr>
      <w:tabs>
        <w:tab w:val="clear" w:pos="720"/>
        <w:tab w:val="center" w:pos="4677" w:leader="none"/>
        <w:tab w:val="right" w:pos="9355" w:leader="none"/>
      </w:tabs>
    </w:pPr>
    <w:rPr/>
  </w:style>
  <w:style w:type="paragraph" w:styleId="Style29">
    <w:name w:val="Footer"/>
    <w:basedOn w:val="Normal"/>
    <w:link w:val="Style15"/>
    <w:uiPriority w:val="99"/>
    <w:semiHidden/>
    <w:unhideWhenUsed/>
    <w:rsid w:val="00381253"/>
    <w:pPr>
      <w:tabs>
        <w:tab w:val="clear" w:pos="720"/>
        <w:tab w:val="center" w:pos="4677" w:leader="none"/>
        <w:tab w:val="right" w:pos="9355" w:leader="none"/>
      </w:tabs>
    </w:pPr>
    <w:rPr/>
  </w:style>
  <w:style w:type="paragraph" w:styleId="Style30">
    <w:name w:val="Footnote Text"/>
    <w:basedOn w:val="Normal"/>
    <w:link w:val="Style16"/>
    <w:uiPriority w:val="99"/>
    <w:semiHidden/>
    <w:unhideWhenUsed/>
    <w:rsid w:val="00d7170d"/>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7b4910"/>
    <w:rPr>
      <w:lang w:val="en-US" w:eastAsia="en-US"/>
      <w:sz w:val="22"/>
      <w:szCs w:val="22"/>
    </w:rPr>
    <w:tblPr>
      <w:tblCellMar>
        <w:top w:w="0" w:type="dxa"/>
        <w:left w:w="0" w:type="dxa"/>
        <w:bottom w:w="0" w:type="dxa"/>
        <w:right w:w="0" w:type="dxa"/>
      </w:tblCellMar>
    </w:tblPr>
  </w:style>
  <w:style w:type="table" w:styleId="a8">
    <w:name w:val="Table Grid"/>
    <w:basedOn w:val="a1"/>
    <w:uiPriority w:val="59"/>
    <w:rsid w:val="000956f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204A7AB84D4D1D28F3D8BC80C31123EFCF5D052FA10312A87FC5FA5381C741E63B8113266757B609A3528DBCAB816B760C714198473Y6B0I" TargetMode="External"/><Relationship Id="rId3" Type="http://schemas.openxmlformats.org/officeDocument/2006/relationships/hyperlink" Target="consultantplus://offline/ref=4204A7AB84D4D1D28F3D8BC80C31123EFCF5D052FA10312A87FC5FA5381C741E63B8113266757A609A3528DBCAB816B760C714198473Y6B0I" TargetMode="External"/><Relationship Id="rId4" Type="http://schemas.openxmlformats.org/officeDocument/2006/relationships/hyperlink" Target="consultantplus://offline/ref=4204A7AB84D4D1D28F3D8BC80C31123EFCF5D052FA10312A87FC5FA5381C741E63B81132667578609A3528DBCAB816B760C714198473Y6B0I" TargetMode="External"/><Relationship Id="rId5" Type="http://schemas.openxmlformats.org/officeDocument/2006/relationships/hyperlink" Target="consultantplus://offline/ref=9B3197A062D9BDD34423921EB025C02DF824880B1F5112ABB2393979543C3CDBD06A553159057C46F67B4DD7E5JCqCO" TargetMode="External"/><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73C28-2086-4513-ADA9-7A424873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LibreOffice/7.5.4.2$Windows_X86_64 LibreOffice_project/36ccfdc35048b057fd9854c757a8b67ec53977b6</Application>
  <AppVersion>15.0000</AppVersion>
  <Pages>5</Pages>
  <Words>822</Words>
  <Characters>5892</Characters>
  <CharactersWithSpaces>6949</CharactersWithSpaces>
  <Paragraphs>40</Paragraphs>
  <Company>ФУ МО Кореновский район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2024-09-11T09:48:00Z</dcterms:created>
  <dc:creator>НПП "Гарант-Сервис"</dc:creator>
  <dc:description/>
  <dc:language>ru-RU</dc:language>
  <cp:lastModifiedBy/>
  <cp:lastPrinted>2024-09-16T13:49:00Z</cp:lastPrinted>
  <dcterms:modified xsi:type="dcterms:W3CDTF">2024-09-16T16:58:44Z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2015-11-23T00:00:00Z</vt:filetime>
  </property>
  <property fmtid="{D5CDD505-2E9C-101B-9397-08002B2CF9AE}" pid="3" name="Creator">
    <vt:lpwstr>Writer</vt:lpwstr>
  </property>
  <property fmtid="{D5CDD505-2E9C-101B-9397-08002B2CF9AE}" pid="4" name="LastSaved">
    <vt:filetime>2015-11-23T00:00:00Z</vt:filetime>
  </property>
</Properties>
</file>