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rFonts w:ascii="Times New Roman" w:hAnsi="Times New Roman"/>
          <w:b/>
          <w:sz w:val="28"/>
          <w:szCs w:val="28"/>
        </w:rPr>
      </w:pPr>
      <w:r>
        <w:rPr>
          <w:rFonts w:ascii="Times New Roman" w:hAnsi="Times New Roman"/>
          <w:b/>
          <w:sz w:val="28"/>
          <w:szCs w:val="28"/>
        </w:rPr>
        <w:t>МЕТОДИЧЕСКИЕ РЕКОМЕНДАЦИИ</w:t>
      </w:r>
    </w:p>
    <w:p>
      <w:pPr>
        <w:pStyle w:val="Normal"/>
        <w:ind w:hanging="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pPr>
        <w:pStyle w:val="Normal"/>
        <w:ind w:hanging="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pStyle w:val="Normal"/>
        <w:ind w:hanging="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pStyle w:val="Normal"/>
        <w:ind w:hanging="0"/>
        <w:jc w:val="center"/>
        <w:rPr>
          <w:rFonts w:ascii="Times New Roman" w:hAnsi="Times New Roman"/>
          <w:sz w:val="28"/>
          <w:szCs w:val="28"/>
        </w:rPr>
      </w:pPr>
      <w:r>
        <w:rPr>
          <w:rFonts w:ascii="Times New Roman" w:hAnsi="Times New Roman"/>
          <w:sz w:val="28"/>
          <w:szCs w:val="28"/>
        </w:rPr>
        <w:t>в 2025 году (за отчетный 2024 год)</w:t>
      </w:r>
    </w:p>
    <w:p>
      <w:pPr>
        <w:pStyle w:val="Normal"/>
        <w:ind w:hanging="0"/>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pStyle w:val="Normal"/>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2" w:tgtFrame="consultantplus://offline/ref=57E0B1C8ADAC653FBEA55D1E9049ED91A63B5BC1BDB036D12C5B445229pEa3J">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pStyle w:val="Normal"/>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Normal"/>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pPr>
        <w:pStyle w:val="Normal"/>
        <w:ind w:firstLine="567"/>
        <w:rPr>
          <w:rFonts w:ascii="Times New Roman" w:hAnsi="Times New Roman"/>
          <w:sz w:val="28"/>
          <w:szCs w:val="28"/>
        </w:rPr>
      </w:pPr>
      <w:r>
        <w:rPr>
          <w:rFonts w:ascii="Times New Roman" w:hAnsi="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Normal"/>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nnotationreference"/>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r>
    </w:p>
    <w:p>
      <w:pPr>
        <w:pStyle w:val="ListParagraph"/>
        <w:tabs>
          <w:tab w:val="clear" w:pos="709"/>
          <w:tab w:val="left" w:pos="426" w:leader="none"/>
        </w:tabs>
        <w:ind w:left="0" w:hanging="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pPr>
        <w:pStyle w:val="ListParagraph"/>
        <w:ind w:left="0" w:hanging="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pPr>
        <w:pStyle w:val="Normal"/>
        <w:jc w:val="center"/>
        <w:rPr>
          <w:rFonts w:ascii="Times New Roman" w:hAnsi="Times New Roman"/>
          <w:sz w:val="28"/>
          <w:szCs w:val="28"/>
        </w:rPr>
      </w:pPr>
      <w:r>
        <w:rPr>
          <w:rFonts w:ascii="Times New Roman" w:hAnsi="Times New Roman"/>
          <w:sz w:val="28"/>
          <w:szCs w:val="28"/>
        </w:rPr>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1"/>
        </w:numPr>
        <w:tabs>
          <w:tab w:val="clear" w:pos="709"/>
          <w:tab w:val="left" w:pos="567" w:leader="none"/>
          <w:tab w:val="left" w:pos="993" w:leader="none"/>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0"/>
          <w:numId w:val="2"/>
        </w:numPr>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pPr>
        <w:pStyle w:val="ListParagraph"/>
        <w:numPr>
          <w:ilvl w:val="0"/>
          <w:numId w:val="2"/>
        </w:numPr>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В случае, если в течение отчетного периода такие сделки не совершались:</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3">
        <w:r>
          <w:rPr>
            <w:rStyle w:val="-"/>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4" w:tgtFrame="consultantplus://offline/ref=C9E7374AA1332C6CF9FF0059DC9BC42D7E0C4094E90E8D4E87A0DE0B00JBsBL">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ConsPlusNormal"/>
        <w:numPr>
          <w:ilvl w:val="0"/>
          <w:numId w:val="2"/>
        </w:numPr>
        <w:tabs>
          <w:tab w:val="clear" w:pos="709"/>
          <w:tab w:val="left" w:pos="567" w:leader="none"/>
        </w:tabs>
        <w:ind w:left="0" w:firstLine="567"/>
        <w:jc w:val="both"/>
        <w:rPr/>
      </w:pPr>
      <w: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5" w:tgtFrame="consultantplus://offline/ref=176F7DE9F43BBC5D4BD135AAE1CAD04D0FAF9650A130B33DA87DA13E97FAF95DCF18F97FDC1FE2FAH7g2M">
        <w:r>
          <w:rPr/>
          <w:t>перечень</w:t>
        </w:r>
      </w:hyperlink>
      <w:r>
        <w:rPr/>
        <w:t>, утвержденный Советом директоров Центрального банка Российской Федерации;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6"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ListParagraph"/>
        <w:numPr>
          <w:ilvl w:val="0"/>
          <w:numId w:val="3"/>
        </w:numPr>
        <w:tabs>
          <w:tab w:val="clear" w:pos="709"/>
          <w:tab w:val="left" w:pos="0" w:leader="none"/>
          <w:tab w:val="left" w:pos="567" w:leader="none"/>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7" w:tgtFrame="consultantplus://offline/ref=3743F552A0D416E80BEAF690826125BB530BB097B6A5A5C17137C1E72FF3E91DCF3284BA9D2A6279g3rBM">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8"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br/>
        <w:t>№ 61).</w:t>
      </w:r>
    </w:p>
    <w:p>
      <w:pPr>
        <w:pStyle w:val="ListParagraph"/>
        <w:tabs>
          <w:tab w:val="clear" w:pos="709"/>
          <w:tab w:val="left" w:pos="1134" w:leader="none"/>
        </w:tabs>
        <w:ind w:left="0" w:firstLine="567"/>
        <w:rPr>
          <w:rFonts w:ascii="Times New Roman" w:hAnsi="Times New Roman"/>
          <w:color w:val="000000"/>
          <w:sz w:val="28"/>
          <w:szCs w:val="28"/>
        </w:rPr>
      </w:pPr>
      <w:r>
        <w:rPr>
          <w:rFonts w:ascii="Times New Roman" w:hAnsi="Times New Roman"/>
          <w:color w:val="000000"/>
          <w:sz w:val="28"/>
          <w:szCs w:val="28"/>
        </w:rPr>
        <w:t>При заполнении с использованием специального программного обеспечения "Справки БК" (далее –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Normal"/>
        <w:tabs>
          <w:tab w:val="clear" w:pos="709"/>
          <w:tab w:val="left" w:pos="1843" w:leader="none"/>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 (далее – Положение, утвержденное Указом Президента Российский Федерации № 61).</w:t>
      </w:r>
    </w:p>
    <w:p>
      <w:pPr>
        <w:pStyle w:val="Normal"/>
        <w:tabs>
          <w:tab w:val="clear" w:pos="709"/>
          <w:tab w:val="left" w:pos="1843" w:leader="none"/>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 </w:t>
      </w:r>
    </w:p>
    <w:p>
      <w:pPr>
        <w:pStyle w:val="Normal"/>
        <w:tabs>
          <w:tab w:val="clear" w:pos="709"/>
          <w:tab w:val="left" w:pos="1134"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1134"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1134" w:leader="none"/>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9" w:tgtFrame="consultantplus://offline/ref=33E7B6DD529722622844D6F9EBC8DBA03B3FAEDA9118A1613233FFF35FCD6ECFCAED66496D73EC2Di9vDO">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ListParagraph"/>
        <w:numPr>
          <w:ilvl w:val="1"/>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numPr>
          <w:ilvl w:val="1"/>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P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pPr>
        <w:pStyle w:val="Normal"/>
        <w:tabs>
          <w:tab w:val="clear" w:pos="709"/>
          <w:tab w:val="left" w:pos="1134" w:leader="none"/>
        </w:tabs>
        <w:ind w:firstLine="567"/>
        <w:rPr>
          <w:rFonts w:ascii="Times New Roman" w:hAnsi="Times New Roman"/>
          <w:sz w:val="28"/>
          <w:szCs w:val="28"/>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0">
        <w:r>
          <w:rPr>
            <w:rStyle w:val="-"/>
            <w:rFonts w:ascii="Times New Roman" w:hAnsi="Times New Roman"/>
            <w:sz w:val="28"/>
            <w:szCs w:val="28"/>
          </w:rPr>
          <w:t>https://mintrud.gov.ru/ministry/programms/anticorruption/9/23</w:t>
        </w:r>
      </w:hyperlink>
      <w:r>
        <w:rPr>
          <w:rFonts w:ascii="Times New Roman" w:hAnsi="Times New Roman"/>
          <w:sz w:val="28"/>
          <w:szCs w:val="28"/>
        </w:rPr>
        <w:t>).</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ListParagraph"/>
        <w:tabs>
          <w:tab w:val="clear" w:pos="709"/>
          <w:tab w:val="left" w:pos="851" w:leader="none"/>
          <w:tab w:val="left" w:pos="1134" w:leader="none"/>
        </w:tabs>
        <w:ind w:left="0" w:firstLine="567"/>
        <w:rPr>
          <w:rFonts w:ascii="Times New Roman" w:hAnsi="Times New Roman"/>
          <w:sz w:val="28"/>
          <w:szCs w:val="28"/>
        </w:rPr>
      </w:pPr>
      <w:r>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 </w:t>
      </w:r>
    </w:p>
    <w:p>
      <w:pPr>
        <w:pStyle w:val="ListParagraph"/>
        <w:tabs>
          <w:tab w:val="left" w:pos="709" w:leader="none"/>
          <w:tab w:val="left" w:pos="1134" w:leader="none"/>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1">
        <w:r>
          <w:rPr>
            <w:rStyle w:val="-"/>
            <w:rFonts w:ascii="Times New Roman" w:hAnsi="Times New Roman"/>
            <w:sz w:val="28"/>
            <w:szCs w:val="28"/>
          </w:rPr>
          <w:t>https://mintrud.gov.ru/ministry/programms/anticorruption/9/23</w:t>
        </w:r>
      </w:hyperlink>
      <w:r>
        <w:rPr>
          <w:rFonts w:ascii="Times New Roman" w:hAnsi="Times New Roman"/>
          <w:sz w:val="28"/>
          <w:szCs w:val="28"/>
        </w:rPr>
        <w:t xml:space="preserve">). </w:t>
      </w:r>
    </w:p>
    <w:p>
      <w:pPr>
        <w:pStyle w:val="ListParagraph"/>
        <w:numPr>
          <w:ilvl w:val="0"/>
          <w:numId w:val="1"/>
        </w:numPr>
        <w:tabs>
          <w:tab w:val="left" w:pos="709" w:leader="none"/>
          <w:tab w:val="left" w:pos="1134" w:leader="none"/>
        </w:tabs>
        <w:ind w:left="0" w:firstLine="567"/>
        <w:rPr>
          <w:rFonts w:ascii="Times New Roman" w:hAnsi="Times New Roman"/>
          <w:sz w:val="28"/>
          <w:szCs w:val="28"/>
        </w:rPr>
      </w:pPr>
      <w:r>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r>
        <w:rPr>
          <w:rFonts w:ascii="Times New Roman" w:hAnsi="Times New Roman"/>
          <w:sz w:val="28"/>
        </w:rPr>
        <w:t>пункте 13 настоящих Методических рекомендаций</w:t>
      </w:r>
      <w:r>
        <w:rPr>
          <w:rFonts w:ascii="Times New Roman" w:hAnsi="Times New Roman"/>
          <w:sz w:val="28"/>
          <w:szCs w:val="28"/>
        </w:rPr>
        <w:t>.</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ListParagraph"/>
        <w:tabs>
          <w:tab w:val="clear" w:pos="709"/>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w:t>
      </w:r>
      <w:r>
        <w:rPr>
          <w:rFonts w:ascii="Times New Roman" w:hAnsi="Times New Roman"/>
          <w:sz w:val="28"/>
        </w:rPr>
        <w:t>в пункте 11 настоящих Методический рекомендаций</w:t>
      </w:r>
      <w:r>
        <w:rPr>
          <w:rFonts w:ascii="Times New Roman" w:hAnsi="Times New Roman"/>
          <w:sz w:val="28"/>
          <w:szCs w:val="28"/>
        </w:rPr>
        <w:t>.</w:t>
      </w:r>
    </w:p>
    <w:p>
      <w:pPr>
        <w:pStyle w:val="ListParagraph"/>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pPr>
        <w:pStyle w:val="ListParagraph"/>
        <w:numPr>
          <w:ilvl w:val="0"/>
          <w:numId w:val="5"/>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гражданин представляет:</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0"/>
          <w:numId w:val="5"/>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ListParagraph"/>
        <w:numPr>
          <w:ilvl w:val="0"/>
          <w:numId w:val="1"/>
        </w:numPr>
        <w:tabs>
          <w:tab w:val="clear" w:pos="709"/>
          <w:tab w:val="left" w:pos="567" w:leader="none"/>
          <w:tab w:val="left" w:pos="993" w:leader="none"/>
          <w:tab w:val="left" w:pos="1134" w:leader="none"/>
        </w:tabs>
        <w:ind w:left="0" w:firstLine="567"/>
        <w:rPr>
          <w:rFonts w:ascii="Times New Roman" w:hAnsi="Times New Roman"/>
          <w:sz w:val="28"/>
          <w:szCs w:val="28"/>
        </w:rPr>
      </w:pPr>
      <w:bookmarkStart w:id="0" w:name="_Hlk153818148"/>
      <w:r>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 года).</w:t>
      </w:r>
      <w:bookmarkEnd w:id="0"/>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pPr>
        <w:pStyle w:val="ListParagraph"/>
        <w:numPr>
          <w:ilvl w:val="0"/>
          <w:numId w:val="1"/>
        </w:numPr>
        <w:tabs>
          <w:tab w:val="clear" w:pos="709"/>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1"/>
          <w:numId w:val="1"/>
        </w:numPr>
        <w:tabs>
          <w:tab w:val="clear" w:pos="709"/>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ListParagraph"/>
        <w:tabs>
          <w:tab w:val="clear" w:pos="709"/>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ListParagraph"/>
        <w:numPr>
          <w:ilvl w:val="1"/>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ListParagraph"/>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2025 г. не требуется.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pPr>
        <w:pStyle w:val="ListParagraph"/>
        <w:numPr>
          <w:ilvl w:val="0"/>
          <w:numId w:val="1"/>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Супруги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8"/>
        <w:gridCol w:w="7229"/>
      </w:tblGrid>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2025 году </w:t>
              <w:br/>
              <w:t>(за отчетный 2024 год)</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2024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Брак заключен в ЗАГСе в марте 2025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 </w:t>
            </w:r>
          </w:p>
        </w:tc>
      </w:tr>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rPr>
          <w:trHeight w:val="660"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Брак заключен 1 февраля 2025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2025 года) гражданин состоял в браке</w:t>
            </w:r>
          </w:p>
        </w:tc>
      </w:tr>
      <w:tr>
        <w:trPr>
          <w:trHeight w:val="131"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Брак заключен 2 августа 2025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pPr>
        <w:pStyle w:val="ListParagraph"/>
        <w:tabs>
          <w:tab w:val="clear" w:pos="709"/>
          <w:tab w:val="left" w:pos="1134" w:leader="none"/>
        </w:tabs>
        <w:ind w:left="709" w:firstLine="851"/>
        <w:rPr>
          <w:rFonts w:ascii="Times New Roman" w:hAnsi="Times New Roman"/>
          <w:sz w:val="28"/>
          <w:szCs w:val="28"/>
        </w:rPr>
      </w:pPr>
      <w:r>
        <w:rPr>
          <w:rFonts w:ascii="Times New Roman" w:hAnsi="Times New Roman"/>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46"/>
        <w:gridCol w:w="7201"/>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Брак был расторгнут в ЗАГСе в ноябре 2024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2024 года и вступило в законную силу 12 января 2025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Брак был расторгнут в ЗАГСе в марте 2025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Брак был расторгнут в ЗАГСе 1 июля 2025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Брак был расторгнут в ЗАГСе 2 августа 2025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2025 года и вступило в законную силу 4 августа 2025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pPr>
        <w:pStyle w:val="Normal"/>
        <w:ind w:firstLine="567"/>
        <w:rPr>
          <w:rFonts w:ascii="Times New Roman" w:hAnsi="Times New Roman"/>
          <w:b/>
          <w:sz w:val="28"/>
          <w:szCs w:val="28"/>
        </w:rPr>
      </w:pPr>
      <w:r>
        <w:rPr>
          <w:rFonts w:ascii="Times New Roman" w:hAnsi="Times New Roman"/>
          <w:b/>
          <w:sz w:val="28"/>
          <w:szCs w:val="28"/>
        </w:rPr>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2">
        <w:r>
          <w:rPr>
            <w:rStyle w:val="-"/>
            <w:rFonts w:ascii="Times New Roman" w:hAnsi="Times New Roman"/>
            <w:sz w:val="28"/>
            <w:szCs w:val="28"/>
          </w:rPr>
          <w:t>https://mintrud.gov.ru/ministry/programms/anticorruption/9/23</w:t>
        </w:r>
      </w:hyperlink>
      <w:r>
        <w:rPr>
          <w:rFonts w:ascii="Times New Roman" w:hAnsi="Times New Roman"/>
          <w:sz w:val="28"/>
          <w:szCs w:val="28"/>
        </w:rPr>
        <w:t>).</w:t>
      </w:r>
    </w:p>
    <w:p>
      <w:pPr>
        <w:pStyle w:val="ListParagraph"/>
        <w:ind w:left="0" w:firstLine="567"/>
        <w:rPr>
          <w:rFonts w:ascii="Times New Roman" w:hAnsi="Times New Roman"/>
          <w:b/>
          <w:sz w:val="28"/>
          <w:szCs w:val="28"/>
        </w:rPr>
      </w:pPr>
      <w:r>
        <w:rPr>
          <w:rFonts w:ascii="Times New Roman" w:hAnsi="Times New Roman"/>
          <w:b/>
          <w:sz w:val="28"/>
          <w:szCs w:val="28"/>
        </w:rPr>
        <w:t>Несовершеннолетние дети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pStyle w:val="Normal"/>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3118"/>
        <w:gridCol w:w="7229"/>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21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30 декабря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31 декабря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гражданин представляет в сентябре 2025 года Сведения в связи с назначением на должность. Отчетной датой является 1 августа 2025 года</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5 мая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1 августа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17 августа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 </w:t>
            </w:r>
          </w:p>
        </w:tc>
      </w:tr>
    </w:tbl>
    <w:p>
      <w:pPr>
        <w:pStyle w:val="ListParagraph"/>
        <w:ind w:left="567" w:hanging="0"/>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ListParagraph"/>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не отраженного в справке, представленной в рамках декларационной кампании 2024 года).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Normal"/>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по объективным причинам представить Сведения в отношении члена семьи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 в случае назначения на должность в ситуации, указанной в пункте 5 настоящих Методических рекомендаций.</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3">
        <w:r>
          <w:rPr>
            <w:rStyle w:val="-"/>
            <w:rFonts w:ascii="Times New Roman" w:hAnsi="Times New Roman"/>
            <w:sz w:val="28"/>
            <w:szCs w:val="28"/>
          </w:rPr>
          <w:t>https://mintrud.gov.ru/ministry/programms/anticorruption/9/24</w:t>
        </w:r>
      </w:hyperlink>
      <w:r>
        <w:rPr>
          <w:rFonts w:ascii="Times New Roman" w:hAnsi="Times New Roman"/>
          <w:sz w:val="28"/>
          <w:szCs w:val="28"/>
        </w:rPr>
        <w:t xml:space="preserve">).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Заявление направляется до истечения срока, установленного для представления служащим (работником) Сведений.</w:t>
      </w:r>
    </w:p>
    <w:p>
      <w:pPr>
        <w:pStyle w:val="ListParagraph"/>
        <w:ind w:left="0" w:firstLine="567"/>
        <w:rPr>
          <w:rFonts w:ascii="Times New Roman" w:hAnsi="Times New Roman"/>
          <w:sz w:val="28"/>
          <w:szCs w:val="28"/>
        </w:rPr>
      </w:pPr>
      <w:r>
        <w:rPr>
          <w:rFonts w:ascii="Times New Roman" w:hAnsi="Times New Roman"/>
          <w:sz w:val="28"/>
          <w:szCs w:val="28"/>
        </w:rPr>
        <w:t>Заявление подается (таблица № 4):</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223"/>
        <w:gridCol w:w="7124"/>
      </w:tblGrid>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pPr>
              <w:pStyle w:val="Normal"/>
              <w:widowControl w:val="false"/>
              <w:ind w:hanging="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firstLine="33"/>
              <w:rPr>
                <w:rFonts w:ascii="Times New Roman" w:hAnsi="Times New Roman"/>
                <w:sz w:val="28"/>
                <w:szCs w:val="28"/>
              </w:rPr>
            </w:pPr>
            <w:r>
              <w:rPr>
                <w:rFonts w:ascii="Times New Roman" w:hAnsi="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Normal"/>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45 и 46 настоящих Методических рекомендаций.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pStyle w:val="ListParagraph"/>
        <w:numPr>
          <w:ilvl w:val="0"/>
          <w:numId w:val="1"/>
        </w:numPr>
        <w:ind w:left="0" w:firstLine="567"/>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ListParagraph"/>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pPr>
        <w:pStyle w:val="Normal"/>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ListParagraph"/>
        <w:ind w:left="0" w:firstLine="567"/>
        <w:rPr>
          <w:rFonts w:ascii="Times New Roman" w:hAnsi="Times New Roman"/>
          <w:sz w:val="28"/>
          <w:szCs w:val="28"/>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pPr>
        <w:pStyle w:val="ListParagraph"/>
        <w:ind w:left="0" w:firstLine="567"/>
        <w:rPr>
          <w:rFonts w:ascii="Times New Roman" w:hAnsi="Times New Roman"/>
          <w:sz w:val="28"/>
          <w:szCs w:val="28"/>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Normal"/>
        <w:ind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pPr>
        <w:pStyle w:val="Normal"/>
        <w:ind w:hanging="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ListParagraph"/>
        <w:ind w:left="0" w:firstLine="567"/>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pPr>
        <w:pStyle w:val="ListParagraph"/>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pPr>
        <w:pStyle w:val="ListParagraph"/>
        <w:ind w:left="567" w:hanging="0"/>
        <w:rPr>
          <w:rFonts w:ascii="Times New Roman" w:hAnsi="Times New Roman"/>
          <w:sz w:val="28"/>
          <w:szCs w:val="28"/>
        </w:rPr>
      </w:pPr>
      <w:r>
        <w:rPr>
          <w:rFonts w:ascii="Times New Roman" w:hAnsi="Times New Roman"/>
          <w:sz w:val="28"/>
          <w:szCs w:val="28"/>
        </w:rPr>
      </w:r>
    </w:p>
    <w:tbl>
      <w:tblPr>
        <w:tblStyle w:val="af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3"/>
        <w:gridCol w:w="7931"/>
      </w:tblGrid>
      <w:tr>
        <w:trPr/>
        <w:tc>
          <w:tcPr>
            <w:tcW w:w="2263" w:type="dxa"/>
            <w:tcBorders/>
          </w:tcPr>
          <w:p>
            <w:pPr>
              <w:pStyle w:val="Normal"/>
              <w:widowControl/>
              <w:spacing w:before="0" w:after="0"/>
              <w:ind w:hanging="0"/>
              <w:jc w:val="center"/>
              <w:rPr>
                <w:rFonts w:ascii="Times New Roman" w:hAnsi="Times New Roman"/>
                <w:b/>
                <w:sz w:val="28"/>
                <w:szCs w:val="28"/>
              </w:rPr>
            </w:pPr>
            <w:r>
              <w:rPr>
                <w:rFonts w:eastAsia="Calibri" w:cs="Times New Roman" w:ascii="Times New Roman" w:hAnsi="Times New Roman"/>
                <w:b/>
                <w:kern w:val="0"/>
                <w:sz w:val="28"/>
                <w:szCs w:val="28"/>
                <w:lang w:val="ru-RU" w:bidi="ar-SA"/>
              </w:rPr>
              <w:t>Раздел (подраздел) справки</w:t>
            </w:r>
          </w:p>
        </w:tc>
        <w:tc>
          <w:tcPr>
            <w:tcW w:w="7931" w:type="dxa"/>
            <w:tcBorders/>
          </w:tcPr>
          <w:p>
            <w:pPr>
              <w:pStyle w:val="Normal"/>
              <w:widowControl/>
              <w:spacing w:before="0" w:after="0"/>
              <w:ind w:hanging="0"/>
              <w:jc w:val="center"/>
              <w:rPr>
                <w:rFonts w:ascii="Times New Roman" w:hAnsi="Times New Roman"/>
                <w:b/>
                <w:sz w:val="28"/>
                <w:szCs w:val="28"/>
              </w:rPr>
            </w:pPr>
            <w:r>
              <w:rPr>
                <w:rFonts w:eastAsia="Calibri" w:cs="Times New Roman" w:ascii="Times New Roman" w:hAnsi="Times New Roman"/>
                <w:b/>
                <w:kern w:val="0"/>
                <w:sz w:val="28"/>
                <w:szCs w:val="28"/>
                <w:lang w:val="ru-RU" w:bidi="ar-SA"/>
              </w:rPr>
              <w:t>Источник информации</w:t>
            </w:r>
          </w:p>
        </w:tc>
      </w:tr>
      <w:tr>
        <w:trPr/>
        <w:tc>
          <w:tcPr>
            <w:tcW w:w="2263" w:type="dxa"/>
            <w:vMerge w:val="restart"/>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доходах</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14">
              <w:r>
                <w:rPr>
                  <w:rStyle w:val="-"/>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tc>
      </w:tr>
      <w:tr>
        <w:trPr/>
        <w:tc>
          <w:tcPr>
            <w:tcW w:w="2263" w:type="dxa"/>
            <w:vMerge w:val="continue"/>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15">
              <w:r>
                <w:rPr>
                  <w:rStyle w:val="-"/>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 или посредством официального сайта Фонда пенсионного и социального страхования Российской Федерации (</w:t>
            </w:r>
            <w:hyperlink r:id="rId16">
              <w:r>
                <w:rPr>
                  <w:rStyle w:val="-"/>
                  <w:rFonts w:eastAsia="Calibri" w:cs="Times New Roman" w:ascii="Times New Roman" w:hAnsi="Times New Roman"/>
                  <w:kern w:val="0"/>
                  <w:sz w:val="28"/>
                  <w:szCs w:val="28"/>
                  <w:lang w:val="ru-RU" w:bidi="ar-SA"/>
                </w:rPr>
                <w:t>https://sfr.gov.ru/</w:t>
              </w:r>
            </w:hyperlink>
            <w:r>
              <w:rPr>
                <w:rFonts w:eastAsia="Calibri" w:cs="Times New Roman" w:ascii="Times New Roman" w:hAnsi="Times New Roman"/>
                <w:kern w:val="0"/>
                <w:sz w:val="28"/>
                <w:szCs w:val="28"/>
                <w:lang w:val="ru-RU" w:bidi="ar-SA"/>
              </w:rPr>
              <w:t>)</w:t>
            </w:r>
          </w:p>
        </w:tc>
      </w:tr>
      <w:tr>
        <w:trPr/>
        <w:tc>
          <w:tcPr>
            <w:tcW w:w="2263" w:type="dxa"/>
            <w:vMerge w:val="continue"/>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Выписка о движении денежных средств по счету</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недвижимом имуществе</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Регистрационные документы. </w:t>
            </w:r>
          </w:p>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17">
              <w:r>
                <w:rPr>
                  <w:rStyle w:val="-"/>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транспортных средствах</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Регистрационные документы.</w:t>
            </w:r>
          </w:p>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18">
              <w:r>
                <w:rPr>
                  <w:rStyle w:val="-"/>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счетах в банках и иных кредитных организациях</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Ориентирующая информация может быть получена через личный кабинет налогоплательщика (официальный сайт </w:t>
            </w:r>
            <w:hyperlink r:id="rId19">
              <w:r>
                <w:rPr>
                  <w:rStyle w:val="-"/>
                  <w:rFonts w:eastAsia="Calibri" w:cs="Times New Roman" w:ascii="Times New Roman" w:hAnsi="Times New Roman"/>
                  <w:kern w:val="0"/>
                  <w:sz w:val="28"/>
                  <w:szCs w:val="28"/>
                  <w:lang w:val="ru-RU" w:bidi="ar-SA"/>
                </w:rPr>
                <w:t>https://lkfl2.nalog.ru/lkfl</w:t>
              </w:r>
            </w:hyperlink>
            <w:r>
              <w:rPr>
                <w:rFonts w:eastAsia="Calibri" w:cs="Times New Roman" w:ascii="Times New Roman" w:hAnsi="Times New Roman"/>
                <w:kern w:val="0"/>
                <w:sz w:val="28"/>
                <w:szCs w:val="28"/>
                <w:lang w:val="ru-RU" w:bidi="ar-SA"/>
              </w:rPr>
              <w:t>).</w:t>
            </w:r>
          </w:p>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ценных бумагах</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Регистрационные документы</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об объектах недвижимого имущества, находящихся в пользовании</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При наличии письменных оснований пользования – письменные основания </w:t>
            </w:r>
          </w:p>
        </w:tc>
      </w:tr>
      <w:tr>
        <w:trPr/>
        <w:tc>
          <w:tcPr>
            <w:tcW w:w="2263"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Сведения о срочных обязательствах финансового характера</w:t>
            </w:r>
          </w:p>
        </w:tc>
        <w:tc>
          <w:tcPr>
            <w:tcW w:w="7931" w:type="dxa"/>
            <w:tcBorders/>
          </w:tcPr>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 xml:space="preserve">При наличии письменных оснований возникновения обязательства – письменные основания. </w:t>
            </w:r>
          </w:p>
          <w:p>
            <w:pPr>
              <w:pStyle w:val="Normal"/>
              <w:widowControl/>
              <w:spacing w:before="0" w:after="0"/>
              <w:ind w:hanging="0"/>
              <w:rPr>
                <w:rFonts w:ascii="Times New Roman" w:hAnsi="Times New Roman"/>
                <w:sz w:val="28"/>
                <w:szCs w:val="28"/>
              </w:rPr>
            </w:pPr>
            <w:r>
              <w:rPr>
                <w:rFonts w:eastAsia="Calibri" w:cs="Times New Roman" w:ascii="Times New Roman" w:hAnsi="Times New Roman"/>
                <w:kern w:val="0"/>
                <w:sz w:val="28"/>
                <w:szCs w:val="28"/>
                <w:lang w:val="ru-RU" w:bidi="ar-SA"/>
              </w:rPr>
              <w:t>В отношении обязательств, стороной которых</w:t>
            </w:r>
            <w:bookmarkStart w:id="1" w:name="_GoBack"/>
            <w:bookmarkEnd w:id="1"/>
            <w:r>
              <w:rPr>
                <w:rFonts w:eastAsia="Calibri" w:cs="Times New Roman" w:ascii="Times New Roman" w:hAnsi="Times New Roman"/>
                <w:kern w:val="0"/>
                <w:sz w:val="28"/>
                <w:szCs w:val="28"/>
                <w:lang w:val="ru-RU" w:bidi="ar-SA"/>
              </w:rPr>
              <w:t xml:space="preserve">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Ряд сведений также доступен на Портале государственных услуг Российской Федерации (</w:t>
      </w:r>
      <w:hyperlink r:id="rId20">
        <w:r>
          <w:rPr>
            <w:rStyle w:val="-"/>
            <w:rFonts w:ascii="Times New Roman" w:hAnsi="Times New Roman"/>
            <w:sz w:val="28"/>
            <w:szCs w:val="28"/>
          </w:rPr>
          <w:t>https://www.gosuslugi.ru/</w:t>
        </w:r>
      </w:hyperlink>
      <w:r>
        <w:rPr>
          <w:rFonts w:ascii="Times New Roman" w:hAnsi="Times New Roman"/>
          <w:sz w:val="28"/>
          <w:szCs w:val="28"/>
        </w:rPr>
        <w:t>).</w:t>
      </w:r>
    </w:p>
    <w:p>
      <w:pPr>
        <w:pStyle w:val="Normal"/>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Оценка актуальности версии СПО "Справки БК" осуществляется при приеме справки.</w:t>
      </w:r>
    </w:p>
    <w:p>
      <w:pPr>
        <w:pStyle w:val="ListParagraph"/>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hyperlink r:id="rId21" w:tgtFrame="http://www.kremlin.ru/structure/additional/12">
        <w:r>
          <w:rPr>
            <w:rStyle w:val="-"/>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gtFrame="https://gossluzhba.gov.ru/anticorruption/spravki_bk">
        <w:r>
          <w:rPr>
            <w:rStyle w:val="-"/>
            <w:rFonts w:ascii="Times New Roman" w:hAnsi="Times New Roman"/>
            <w:sz w:val="28"/>
            <w:szCs w:val="28"/>
          </w:rPr>
          <w:t>https://gossluzhba.gov.ru/anticorruption/spravki_bk</w:t>
        </w:r>
      </w:hyperlink>
      <w:r>
        <w:rPr>
          <w:rFonts w:ascii="Times New Roman" w:hAnsi="Times New Roman"/>
          <w:sz w:val="28"/>
          <w:szCs w:val="28"/>
        </w:rPr>
        <w:t>).</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pPr>
        <w:pStyle w:val="ListParagraph"/>
        <w:ind w:left="0" w:firstLine="567"/>
        <w:rPr>
          <w:rFonts w:ascii="Times New Roman" w:hAnsi="Times New Roman"/>
          <w:sz w:val="28"/>
          <w:szCs w:val="28"/>
        </w:rPr>
      </w:pPr>
      <w:r>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ListParagraph"/>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ListParagraph"/>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ListParagraph"/>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ListParagraph"/>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3">
        <w:r>
          <w:rPr>
            <w:rStyle w:val="-"/>
            <w:rFonts w:ascii="Times New Roman" w:hAnsi="Times New Roman"/>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ListParagraph"/>
        <w:tabs>
          <w:tab w:val="clear" w:pos="709"/>
          <w:tab w:val="left" w:pos="851" w:leader="none"/>
        </w:tabs>
        <w:ind w:left="0" w:hanging="0"/>
        <w:jc w:val="center"/>
        <w:rPr>
          <w:rFonts w:ascii="Times New Roman" w:hAnsi="Times New Roman"/>
          <w:b/>
          <w:sz w:val="28"/>
          <w:szCs w:val="28"/>
        </w:rPr>
      </w:pPr>
      <w:r>
        <w:rPr>
          <w:rFonts w:ascii="Times New Roman" w:hAnsi="Times New Roman"/>
          <w:b/>
          <w:sz w:val="28"/>
          <w:szCs w:val="28"/>
        </w:rPr>
      </w:r>
    </w:p>
    <w:p>
      <w:pPr>
        <w:pStyle w:val="ListParagraph"/>
        <w:tabs>
          <w:tab w:val="clear" w:pos="709"/>
          <w:tab w:val="left" w:pos="851" w:leader="none"/>
        </w:tabs>
        <w:ind w:left="0" w:hanging="0"/>
        <w:jc w:val="center"/>
        <w:rPr>
          <w:rFonts w:ascii="Times New Roman" w:hAnsi="Times New Roman"/>
          <w:b/>
          <w:sz w:val="28"/>
          <w:szCs w:val="28"/>
        </w:rPr>
      </w:pPr>
      <w:r>
        <w:rPr>
          <w:rFonts w:ascii="Times New Roman" w:hAnsi="Times New Roman"/>
          <w:b/>
          <w:sz w:val="28"/>
          <w:szCs w:val="28"/>
        </w:rPr>
        <w:t>ТИТУЛЬНЫЙ ЛИСТ</w:t>
      </w:r>
    </w:p>
    <w:p>
      <w:pPr>
        <w:pStyle w:val="ListParagraph"/>
        <w:tabs>
          <w:tab w:val="clear" w:pos="709"/>
          <w:tab w:val="left" w:pos="851" w:leader="none"/>
        </w:tabs>
        <w:ind w:left="0"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Style13"/>
          <w:rFonts w:cs="Times New Roman" w:ascii="Times New Roman" w:hAnsi="Times New Roman"/>
          <w:sz w:val="28"/>
          <w:szCs w:val="28"/>
        </w:rPr>
        <w:t>полностью, без</w:t>
      </w:r>
      <w:r>
        <w:rPr>
          <w:rStyle w:val="Style13"/>
          <w:rFonts w:cs="Times New Roman"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Style13"/>
          <w:rFonts w:cs="Times New Roman" w:ascii="Times New Roman" w:hAnsi="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Style13"/>
          <w:rFonts w:cs="Times New Roman" w:ascii="Times New Roman" w:hAnsi="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clear" w:pos="709"/>
          <w:tab w:val="left" w:pos="567" w:leader="none"/>
        </w:tabs>
        <w:ind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cs="Times New Roman" w:ascii="Times New Roman" w:hAnsi="Times New Roman"/>
          <w:sz w:val="28"/>
          <w:szCs w:val="28"/>
        </w:rPr>
        <w:t>(с 1 января по 1 (30) апреля года, следующего за отчетным)</w:t>
      </w:r>
      <w:r>
        <w:rPr>
          <w:rStyle w:val="Style13"/>
          <w:rFonts w:cs="Times New Roman" w:ascii="Times New Roman" w:hAnsi="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clear" w:pos="709"/>
          <w:tab w:val="left" w:pos="567" w:leader="none"/>
        </w:tabs>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cs="Times New Roman" w:ascii="Times New Roman" w:hAnsi="Times New Roman"/>
          <w:sz w:val="28"/>
          <w:szCs w:val="28"/>
        </w:rPr>
        <w:t>или "находится на домашнем воспитании".</w:t>
      </w:r>
    </w:p>
    <w:p>
      <w:pPr>
        <w:pStyle w:val="ConsPlusNonformat"/>
        <w:tabs>
          <w:tab w:val="clear" w:pos="709"/>
          <w:tab w:val="left" w:pos="567" w:leader="none"/>
        </w:tabs>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cs="Times New Roman" w:ascii="Times New Roman" w:hAnsi="Times New Roman"/>
          <w:sz w:val="28"/>
          <w:szCs w:val="28"/>
        </w:rPr>
        <w:t xml:space="preserve"> или "домохозяйка" ("домохозяин")</w:t>
      </w:r>
      <w:r>
        <w:rPr>
          <w:rStyle w:val="Style13"/>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cs="Times New Roman" w:ascii="Times New Roman" w:hAnsi="Times New Roman"/>
          <w:sz w:val="28"/>
          <w:szCs w:val="28"/>
        </w:rPr>
        <w:t>"</w:t>
      </w:r>
      <w:r>
        <w:rPr>
          <w:rStyle w:val="Style13"/>
          <w:rFonts w:cs="Times New Roman" w:ascii="Times New Roman" w:hAnsi="Times New Roman"/>
          <w:sz w:val="28"/>
          <w:szCs w:val="28"/>
        </w:rPr>
        <w:t>осуществляющий уход за нетрудоспособным гражданином</w:t>
      </w:r>
      <w:r>
        <w:rPr>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sz w:val="28"/>
          <w:szCs w:val="28"/>
        </w:rPr>
        <w:t xml:space="preserve">5) при наличии на отчетную дату нескольких мест работы на титульном листе справки </w:t>
      </w:r>
      <w:r>
        <w:rPr>
          <w:rFonts w:cs="Times New Roman" w:ascii="Times New Roman" w:hAnsi="Times New Roman"/>
          <w:sz w:val="28"/>
          <w:szCs w:val="28"/>
        </w:rPr>
        <w:t>обязательно</w:t>
      </w:r>
      <w:r>
        <w:rPr>
          <w:rStyle w:val="Style13"/>
          <w:rFonts w:cs="Times New Roman" w:ascii="Times New Roman" w:hAnsi="Times New Roman"/>
          <w:sz w:val="28"/>
          <w:szCs w:val="28"/>
        </w:rPr>
        <w:t xml:space="preserve"> указывается основное место работы, т.е. </w:t>
      </w:r>
      <w:r>
        <w:rPr>
          <w:rFonts w:cs="Times New Roman" w:ascii="Times New Roman" w:hAnsi="Times New Roman"/>
          <w:sz w:val="28"/>
          <w:szCs w:val="28"/>
        </w:rPr>
        <w:t>организация, в которой находится трудовая книжка. При этом рекомендуется указать и иные места работы.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color w:val="000000"/>
          <w:sz w:val="28"/>
          <w:szCs w:val="28"/>
        </w:rPr>
        <w:t>6) а</w:t>
      </w:r>
      <w:r>
        <w:rPr>
          <w:rFonts w:cs="Times New Roman" w:ascii="Times New Roman" w:hAnsi="Times New Roman"/>
          <w:bCs/>
          <w:sz w:val="28"/>
          <w:szCs w:val="28"/>
        </w:rPr>
        <w:t>дрес места регистрации у</w:t>
      </w:r>
      <w:r>
        <w:rPr>
          <w:rFonts w:cs="Times New Roman" w:ascii="Times New Roman" w:hAnsi="Times New Roman"/>
          <w:sz w:val="28"/>
          <w:szCs w:val="28"/>
        </w:rPr>
        <w:t xml:space="preserve">казывается </w:t>
      </w:r>
      <w:r>
        <w:rPr>
          <w:rStyle w:val="Style13"/>
          <w:rFonts w:cs="Times New Roman" w:ascii="Times New Roman" w:hAnsi="Times New Roman"/>
          <w:sz w:val="28"/>
          <w:szCs w:val="28"/>
        </w:rPr>
        <w:t>по состоянию на дату представления справки</w:t>
      </w:r>
      <w:r>
        <w:rPr>
          <w:rStyle w:val="Style13"/>
          <w:rFonts w:cs="Times New Roman" w:ascii="Times New Roman" w:hAnsi="Times New Roman"/>
          <w:color w:val="000000"/>
          <w:sz w:val="28"/>
          <w:szCs w:val="28"/>
        </w:rPr>
        <w:t xml:space="preserve"> </w:t>
      </w:r>
      <w:r>
        <w:rPr>
          <w:rFonts w:cs="Times New Roman" w:ascii="Times New Roman" w:hAnsi="Times New Roman"/>
          <w:sz w:val="28"/>
          <w:szCs w:val="28"/>
        </w:rPr>
        <w:t>на основании записи в паспорте</w:t>
      </w:r>
      <w:r>
        <w:rPr>
          <w:rStyle w:val="Style13"/>
          <w:rFonts w:cs="Times New Roman" w:ascii="Times New Roman" w:hAnsi="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cs="Times New Roman" w:ascii="Times New Roman" w:hAnsi="Times New Roman"/>
          <w:sz w:val="28"/>
          <w:szCs w:val="28"/>
        </w:rPr>
        <w:t>.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 </w:t>
      </w:r>
    </w:p>
    <w:p>
      <w:pPr>
        <w:pStyle w:val="Normal"/>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1. СВЕДЕНИЯ О ДОХОДАХ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numPr>
          <w:ilvl w:val="0"/>
          <w:numId w:val="1"/>
        </w:numPr>
        <w:ind w:left="0" w:firstLine="709"/>
        <w:rPr>
          <w:rFonts w:ascii="Times New Roman" w:hAnsi="Times New Roman"/>
          <w:sz w:val="28"/>
          <w:szCs w:val="28"/>
        </w:rPr>
      </w:pPr>
      <w:r>
        <w:rPr>
          <w:rFonts w:eastAsia="Times New Roman"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pPr>
        <w:pStyle w:val="ListParagraph"/>
        <w:tabs>
          <w:tab w:val="clear" w:pos="709"/>
          <w:tab w:val="left" w:pos="1134" w:leader="none"/>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Pr>
          <w:rFonts w:ascii="Times New Roman" w:hAnsi="Times New Roman"/>
          <w:b/>
          <w:sz w:val="28"/>
          <w:szCs w:val="28"/>
        </w:rPr>
        <w:t>"Иные доходы"</w:t>
      </w:r>
      <w:r>
        <w:rPr>
          <w:rFonts w:ascii="Times New Roman" w:hAnsi="Times New Roman"/>
          <w:sz w:val="28"/>
          <w:szCs w:val="28"/>
        </w:rPr>
        <w:t xml:space="preserve">. </w:t>
      </w:r>
    </w:p>
    <w:p>
      <w:pPr>
        <w:pStyle w:val="Normal"/>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место работы.</w:t>
      </w:r>
    </w:p>
    <w:p>
      <w:pPr>
        <w:pStyle w:val="ListParagraph"/>
        <w:ind w:left="0" w:firstLine="567"/>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Normal"/>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Normal"/>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pStyle w:val="Normal"/>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Normal"/>
        <w:ind w:firstLine="567"/>
        <w:rPr>
          <w:rFonts w:ascii="Times New Roman" w:hAnsi="Times New Roman"/>
          <w:sz w:val="28"/>
          <w:szCs w:val="28"/>
        </w:rPr>
      </w:pPr>
      <w:r>
        <w:rPr>
          <w:rFonts w:ascii="Times New Roman" w:hAnsi="Times New Roman"/>
          <w:sz w:val="28"/>
          <w:szCs w:val="28"/>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br/>
        <w:t xml:space="preserve">от предпринимательской деятельности, полученных им или членами его семьи, </w:t>
        <w:br/>
        <w:t>и приложить их к справке.</w:t>
      </w:r>
    </w:p>
    <w:p>
      <w:pPr>
        <w:pStyle w:val="Normal"/>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4" w:tgtFrame="https://mintrud.gov.ru/docs/1872">
        <w:r>
          <w:rPr>
            <w:rStyle w:val="-"/>
            <w:rFonts w:ascii="Times New Roman" w:hAnsi="Times New Roman"/>
            <w:sz w:val="28"/>
            <w:szCs w:val="28"/>
          </w:rPr>
          <w:t>https://mintrud.gov.ru/docs/1872</w:t>
        </w:r>
      </w:hyperlink>
      <w:r>
        <w:rPr>
          <w:rFonts w:ascii="Times New Roman" w:hAnsi="Times New Roman"/>
          <w:sz w:val="28"/>
          <w:szCs w:val="28"/>
        </w:rPr>
        <w:t xml:space="preserve">). </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
    <w:p>
      <w:pPr>
        <w:pStyle w:val="ListParagraph"/>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ilvl w:val="0"/>
          <w:numId w:val="1"/>
        </w:numPr>
        <w:ind w:left="0" w:firstLine="567"/>
        <w:rPr>
          <w:color w:val="auto"/>
          <w:sz w:val="28"/>
          <w:szCs w:val="28"/>
        </w:rPr>
      </w:pPr>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Normal"/>
        <w:tabs>
          <w:tab w:val="clear" w:pos="709"/>
          <w:tab w:val="left" w:pos="1134" w:leader="none"/>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Pr>
          <w:rFonts w:ascii="Times New Roman" w:hAnsi="Times New Roman"/>
          <w:sz w:val="28"/>
        </w:rPr>
        <w:t xml:space="preserve">в пункте </w:t>
      </w:r>
      <w:r>
        <w:rPr>
          <w:rFonts w:ascii="Times New Roman" w:hAnsi="Times New Roman"/>
          <w:sz w:val="28"/>
          <w:szCs w:val="28"/>
        </w:rPr>
        <w:t xml:space="preserve">75 и подпункте 15 пункта 84 </w:t>
      </w:r>
      <w:r>
        <w:rPr>
          <w:rFonts w:ascii="Times New Roman" w:hAnsi="Times New Roman"/>
          <w:sz w:val="28"/>
        </w:rPr>
        <w:t>настоящих Методических рекомендаций</w:t>
      </w:r>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Style13"/>
          <w:rFonts w:cs="Times New Roman" w:ascii="Times New Roman" w:hAnsi="Times New Roman"/>
          <w:sz w:val="28"/>
          <w:szCs w:val="28"/>
        </w:rPr>
        <w:t>полученной в рамках Указания Банка России № 5798-У, такие сведения не отражаются в справке.</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ListParagraph"/>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fill="FFFFFF" w:val="clear"/>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Иные доходы</w:t>
      </w:r>
    </w:p>
    <w:p>
      <w:pPr>
        <w:pStyle w:val="Style22"/>
        <w:numPr>
          <w:ilvl w:val="0"/>
          <w:numId w:val="1"/>
        </w:numPr>
        <w:shd w:val="clear" w:color="auto" w:fill="auto"/>
        <w:tabs>
          <w:tab w:val="clear" w:pos="709"/>
          <w:tab w:val="left" w:pos="142"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В данной строке указываются доходы, которые не были отражены в вышеуказанных строках справки. </w:t>
      </w:r>
    </w:p>
    <w:p>
      <w:pPr>
        <w:pStyle w:val="Style22"/>
        <w:shd w:val="clear" w:color="auto" w:fill="auto"/>
        <w:tabs>
          <w:tab w:val="clear" w:pos="709"/>
          <w:tab w:val="left" w:pos="142" w:leader="none"/>
        </w:tabs>
        <w:spacing w:lineRule="auto" w:line="240" w:before="0" w:after="0"/>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Так, например, в строке </w:t>
      </w:r>
      <w:r>
        <w:rPr>
          <w:rStyle w:val="Style13"/>
          <w:rFonts w:cs="Times New Roman" w:ascii="Times New Roman" w:hAnsi="Times New Roman"/>
          <w:b/>
          <w:sz w:val="28"/>
          <w:szCs w:val="28"/>
        </w:rPr>
        <w:t>"Иные</w:t>
      </w:r>
      <w:r>
        <w:rPr>
          <w:rStyle w:val="Style13"/>
          <w:rFonts w:ascii="Times New Roman" w:hAnsi="Times New Roman"/>
          <w:b/>
          <w:sz w:val="28"/>
        </w:rPr>
        <w:t xml:space="preserve"> доходы</w:t>
      </w:r>
      <w:r>
        <w:rPr>
          <w:rStyle w:val="Style13"/>
          <w:rFonts w:cs="Times New Roman" w:ascii="Times New Roman" w:hAnsi="Times New Roman"/>
          <w:b/>
          <w:sz w:val="28"/>
          <w:szCs w:val="28"/>
        </w:rPr>
        <w:t>"</w:t>
      </w:r>
      <w:r>
        <w:rPr>
          <w:rStyle w:val="Style13"/>
          <w:rFonts w:cs="Times New Roman" w:ascii="Times New Roman" w:hAnsi="Times New Roman"/>
          <w:sz w:val="28"/>
          <w:szCs w:val="28"/>
        </w:rPr>
        <w:t xml:space="preserve"> могут быть указаны: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государственная и негосударственная пенсии </w:t>
      </w:r>
      <w:r>
        <w:rPr>
          <w:rFonts w:cs="Times New Roman" w:ascii="Times New Roman" w:hAnsi="Times New Roman"/>
          <w:sz w:val="28"/>
          <w:szCs w:val="28"/>
        </w:rPr>
        <w:t>(при этом разные виды пенсий (по возрасту и пенсия военнослужащего) не следует суммировать)</w:t>
      </w:r>
      <w:r>
        <w:rPr>
          <w:rStyle w:val="Style13"/>
          <w:rFonts w:cs="Times New Roman" w:ascii="Times New Roman" w:hAnsi="Times New Roman"/>
          <w:sz w:val="28"/>
          <w:szCs w:val="28"/>
        </w:rPr>
        <w:t>;</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pPr>
        <w:pStyle w:val="Default"/>
        <w:numPr>
          <w:ilvl w:val="0"/>
          <w:numId w:val="6"/>
        </w:numPr>
        <w:tabs>
          <w:tab w:val="clear" w:pos="709"/>
          <w:tab w:val="left" w:pos="142" w:leader="none"/>
          <w:tab w:val="left" w:pos="1134" w:leader="none"/>
        </w:tabs>
        <w:ind w:left="0" w:firstLine="567"/>
        <w:rPr>
          <w:color w:val="auto"/>
          <w:sz w:val="28"/>
          <w:szCs w:val="28"/>
        </w:rPr>
      </w:pPr>
      <w:r>
        <w:rPr>
          <w:rStyle w:val="Style13"/>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Style13"/>
          <w:rFonts w:cs="Times New Roman"/>
          <w:sz w:val="28"/>
          <w:szCs w:val="28"/>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xml:space="preserve">, выдаваемую по месту службы (работы). </w:t>
      </w:r>
    </w:p>
    <w:p>
      <w:pPr>
        <w:pStyle w:val="Default"/>
        <w:tabs>
          <w:tab w:val="clear" w:pos="709"/>
          <w:tab w:val="left" w:pos="142" w:leader="none"/>
          <w:tab w:val="left" w:pos="1134" w:leader="none"/>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Fonts w:cs="Times New Roman"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Style13"/>
          <w:rFonts w:ascii="Times New Roman" w:hAnsi="Times New Roman"/>
          <w:color w:val="000000"/>
          <w:sz w:val="28"/>
        </w:rPr>
        <w:t>пунктом 39</w:t>
      </w:r>
      <w:r>
        <w:rPr>
          <w:rStyle w:val="Style13"/>
          <w:rFonts w:cs="Times New Roman" w:ascii="Times New Roman" w:hAnsi="Times New Roman"/>
          <w:color w:val="000000"/>
          <w:sz w:val="28"/>
          <w:szCs w:val="28"/>
        </w:rPr>
        <w:t xml:space="preserve"> настоящих</w:t>
      </w:r>
      <w:r>
        <w:rPr>
          <w:rStyle w:val="Style13"/>
          <w:rFonts w:ascii="Times New Roman" w:hAnsi="Times New Roman"/>
          <w:color w:val="000000"/>
          <w:sz w:val="28"/>
        </w:rPr>
        <w:t xml:space="preserve"> Методических рекомендаций</w:t>
      </w:r>
      <w:r>
        <w:rPr>
          <w:rStyle w:val="Style13"/>
          <w:rFonts w:cs="Times New Roman" w:ascii="Times New Roman" w:hAnsi="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Style13"/>
          <w:rFonts w:ascii="Times New Roman" w:hAnsi="Times New Roman"/>
          <w:b/>
          <w:color w:val="000000"/>
          <w:sz w:val="28"/>
        </w:rPr>
        <w:t>"Иные доходы"</w:t>
      </w:r>
      <w:r>
        <w:rPr>
          <w:rStyle w:val="Style13"/>
          <w:rFonts w:cs="Times New Roman" w:ascii="Times New Roman" w:hAnsi="Times New Roman"/>
          <w:color w:val="000000"/>
          <w:sz w:val="28"/>
          <w:szCs w:val="28"/>
        </w:rPr>
        <w:t>, а сведения о счете – в разделе 4 справки;</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стипендия;</w:t>
      </w:r>
    </w:p>
    <w:p>
      <w:pPr>
        <w:pStyle w:val="ListParagraph"/>
        <w:numPr>
          <w:ilvl w:val="0"/>
          <w:numId w:val="6"/>
        </w:numPr>
        <w:tabs>
          <w:tab w:val="clear" w:pos="709"/>
          <w:tab w:val="left" w:pos="142" w:leader="none"/>
          <w:tab w:val="left" w:pos="1134" w:leader="none"/>
        </w:tabs>
        <w:ind w:left="0" w:firstLine="567"/>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r>
        <w:rPr>
          <w:rStyle w:val="Style13"/>
          <w:rFonts w:ascii="Times New Roman" w:hAnsi="Times New Roman"/>
          <w:color w:val="000000"/>
          <w:sz w:val="28"/>
        </w:rPr>
        <w:t xml:space="preserve">пунктом 39 </w:t>
      </w:r>
      <w:r>
        <w:rPr>
          <w:rStyle w:val="Style13"/>
          <w:rFonts w:cs="Times New Roman" w:ascii="Times New Roman" w:hAnsi="Times New Roman"/>
          <w:color w:val="000000"/>
          <w:sz w:val="28"/>
          <w:szCs w:val="28"/>
        </w:rPr>
        <w:t xml:space="preserve">настоящих </w:t>
      </w:r>
      <w:r>
        <w:rPr>
          <w:rStyle w:val="Style13"/>
          <w:rFonts w:ascii="Times New Roman" w:hAnsi="Times New Roman"/>
          <w:color w:val="000000"/>
          <w:sz w:val="28"/>
        </w:rPr>
        <w:t>Методических рекомендаций</w:t>
      </w:r>
      <w:r>
        <w:rPr>
          <w:rStyle w:val="Style13"/>
          <w:rFonts w:cs="Times New Roman" w:ascii="Times New Roman" w:hAnsi="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w:t>
      </w:r>
    </w:p>
    <w:p>
      <w:pPr>
        <w:pStyle w:val="Style22"/>
        <w:shd w:val="clear" w:color="auto" w:fill="auto"/>
        <w:tabs>
          <w:tab w:val="clear" w:pos="709"/>
          <w:tab w:val="left" w:pos="142" w:leader="none"/>
          <w:tab w:val="left" w:pos="1134" w:leader="none"/>
        </w:tabs>
        <w:spacing w:lineRule="auto" w:line="240" w:before="0" w:after="0"/>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13"/>
          <w:rFonts w:cs="Times New Roman"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pPr>
        <w:pStyle w:val="Style22"/>
        <w:shd w:val="clear" w:color="auto" w:fill="auto"/>
        <w:tabs>
          <w:tab w:val="clear" w:pos="709"/>
          <w:tab w:val="left" w:pos="142" w:leader="none"/>
          <w:tab w:val="left" w:pos="1134" w:leader="none"/>
        </w:tabs>
        <w:spacing w:lineRule="auto" w:line="240" w:before="0" w:after="0"/>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Style w:val="Style13"/>
          <w:rFonts w:cs="Times New Roman" w:ascii="Times New Roman" w:hAnsi="Times New Roman"/>
          <w:color w:val="000000"/>
          <w:sz w:val="28"/>
          <w:szCs w:val="28"/>
        </w:rPr>
        <w:t xml:space="preserve">При этом </w:t>
      </w:r>
      <w:r>
        <w:rPr>
          <w:rStyle w:val="Style13"/>
          <w:rFonts w:cs="Times New Roman" w:ascii="Times New Roman" w:hAnsi="Times New Roman"/>
          <w:sz w:val="28"/>
          <w:szCs w:val="28"/>
        </w:rPr>
        <w:t xml:space="preserve">рекомендуется </w:t>
      </w:r>
      <w:r>
        <w:rPr>
          <w:rStyle w:val="Style13"/>
          <w:rFonts w:cs="Times New Roman"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cs="Times New Roman"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cs="Times New Roman" w:ascii="Times New Roman" w:hAnsi="Times New Roman"/>
          <w:sz w:val="28"/>
          <w:szCs w:val="28"/>
        </w:rPr>
        <w:t>).</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Аналогично в отношении продажи имущества, находящегося в совместной собственности;</w:t>
      </w:r>
    </w:p>
    <w:p>
      <w:pPr>
        <w:pStyle w:val="Style22"/>
        <w:numPr>
          <w:ilvl w:val="0"/>
          <w:numId w:val="6"/>
        </w:numPr>
        <w:shd w:val="clear" w:color="auto" w:fill="auto"/>
        <w:tabs>
          <w:tab w:val="clear" w:pos="709"/>
          <w:tab w:val="left" w:pos="142" w:leader="none"/>
          <w:tab w:val="left" w:pos="710"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shd w:fill="auto" w:val="clear"/>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sz w:val="28"/>
          <w:szCs w:val="28"/>
          <w:shd w:fill="FFFFFF" w:val="clear"/>
        </w:rPr>
      </w:pPr>
      <w:r>
        <w:rPr>
          <w:rStyle w:val="Style13"/>
          <w:rFonts w:cs="Times New Roman" w:ascii="Times New Roman" w:hAnsi="Times New Roman"/>
          <w:sz w:val="28"/>
          <w:szCs w:val="28"/>
        </w:rPr>
        <w:t xml:space="preserve">доходы по трудовым договорам по совместительству.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адрес места нахождения </w:t>
      </w:r>
      <w:r>
        <w:rPr>
          <w:rStyle w:val="111"/>
          <w:rFonts w:ascii="Times New Roman" w:hAnsi="Times New Roman"/>
          <w:color w:val="000000"/>
          <w:sz w:val="28"/>
          <w:szCs w:val="28"/>
        </w:rPr>
        <w:t xml:space="preserve">организации, от которой был получен доход;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sz w:val="28"/>
          <w:szCs w:val="28"/>
          <w:shd w:fill="FFFFFF" w:val="clear"/>
        </w:rPr>
      </w:pPr>
      <w:r>
        <w:rPr>
          <w:rStyle w:val="Style13"/>
          <w:rFonts w:cs="Times New Roman"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Style13"/>
          <w:rFonts w:ascii="Times New Roman" w:hAnsi="Times New Roman"/>
          <w:b/>
          <w:sz w:val="28"/>
        </w:rPr>
        <w:t>"Доход от ценных бумаг и долей участия в коммерческих организациях"</w:t>
      </w:r>
      <w:r>
        <w:rPr>
          <w:rStyle w:val="Style13"/>
          <w:rFonts w:cs="Times New Roman" w:ascii="Times New Roman" w:hAnsi="Times New Roman"/>
          <w:sz w:val="28"/>
          <w:szCs w:val="28"/>
        </w:rPr>
        <w:t>;</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color w:val="000000"/>
          <w:sz w:val="28"/>
          <w:szCs w:val="28"/>
        </w:rPr>
      </w:pPr>
      <w:r>
        <w:rPr>
          <w:rStyle w:val="Style13"/>
          <w:rFonts w:cs="Times New Roman" w:ascii="Times New Roman" w:hAnsi="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место нахождения </w:t>
      </w:r>
      <w:r>
        <w:rPr>
          <w:rStyle w:val="111"/>
          <w:rFonts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111"/>
          <w:rFonts w:ascii="Times New Roman" w:hAnsi="Times New Roman"/>
          <w:color w:val="000000"/>
          <w:sz w:val="28"/>
          <w:szCs w:val="28"/>
        </w:rPr>
        <w:t xml:space="preserve">;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color w:val="000000"/>
          <w:sz w:val="28"/>
          <w:szCs w:val="28"/>
          <w:shd w:fill="FFFFFF" w:val="clear"/>
        </w:rPr>
      </w:pPr>
      <w:r>
        <w:rPr>
          <w:rFonts w:eastAsia="Times New Roman" w:cs="Times New Roman" w:ascii="Times New Roman" w:hAnsi="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eastAsia="Times New Roman" w:cs="Times New Roman" w:ascii="Times New Roman" w:hAnsi="Times New Roman"/>
          <w:sz w:val="28"/>
          <w:szCs w:val="28"/>
          <w:lang w:eastAsia="ru-RU"/>
        </w:rPr>
        <w:t xml:space="preserve"> подраздела 3.1 раздела 3 справки);</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Fonts w:eastAsia="Times New Roman" w:cs="Times New Roman" w:ascii="Times New Roman" w:hAnsi="Times New Roman"/>
          <w:sz w:val="28"/>
          <w:szCs w:val="28"/>
          <w:lang w:eastAsia="ru-RU"/>
        </w:rPr>
        <w:t>проценты по долговым обязательствам;</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денежные средства, полученные в порядке дарения или наследования. При этом рекомендуется указать</w:t>
      </w:r>
      <w:r>
        <w:rPr>
          <w:rStyle w:val="111"/>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cs="Times New Roman" w:ascii="Times New Roman" w:hAnsi="Times New Roman"/>
          <w:sz w:val="28"/>
          <w:szCs w:val="28"/>
        </w:rPr>
        <w:t>;</w:t>
      </w:r>
    </w:p>
    <w:p>
      <w:pPr>
        <w:pStyle w:val="Default"/>
        <w:numPr>
          <w:ilvl w:val="0"/>
          <w:numId w:val="6"/>
        </w:numPr>
        <w:tabs>
          <w:tab w:val="clear" w:pos="709"/>
          <w:tab w:val="left" w:pos="142" w:leader="none"/>
          <w:tab w:val="left" w:pos="1134" w:leader="none"/>
          <w:tab w:val="left" w:pos="1560" w:leader="none"/>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ilvl w:val="0"/>
          <w:numId w:val="6"/>
        </w:numPr>
        <w:tabs>
          <w:tab w:val="clear" w:pos="709"/>
          <w:tab w:val="left" w:pos="142" w:leader="none"/>
          <w:tab w:val="left" w:pos="1134" w:leader="none"/>
          <w:tab w:val="left" w:pos="1560" w:leader="none"/>
        </w:tabs>
        <w:ind w:left="0" w:firstLine="567"/>
        <w:rPr>
          <w:sz w:val="28"/>
          <w:szCs w:val="28"/>
        </w:rPr>
      </w:pPr>
      <w:r>
        <w:rPr>
          <w:sz w:val="28"/>
          <w:szCs w:val="28"/>
        </w:rPr>
        <w:t xml:space="preserve">выплаты, связанные с гибелью (смертью), выплаченные наследникам; </w:t>
      </w:r>
    </w:p>
    <w:p>
      <w:pPr>
        <w:pStyle w:val="ListParagraph"/>
        <w:numPr>
          <w:ilvl w:val="0"/>
          <w:numId w:val="6"/>
        </w:numPr>
        <w:tabs>
          <w:tab w:val="clear" w:pos="709"/>
          <w:tab w:val="left" w:pos="142" w:leader="none"/>
          <w:tab w:val="left" w:pos="1134" w:leader="none"/>
          <w:tab w:val="left" w:pos="1560" w:leader="none"/>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Default"/>
        <w:numPr>
          <w:ilvl w:val="0"/>
          <w:numId w:val="6"/>
        </w:numPr>
        <w:tabs>
          <w:tab w:val="clear" w:pos="709"/>
          <w:tab w:val="left" w:pos="142" w:leader="none"/>
          <w:tab w:val="left" w:pos="1134" w:leader="none"/>
          <w:tab w:val="left" w:pos="1560" w:leader="none"/>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
    <w:p>
      <w:pPr>
        <w:pStyle w:val="ListParagraph"/>
        <w:numPr>
          <w:ilvl w:val="0"/>
          <w:numId w:val="6"/>
        </w:numPr>
        <w:tabs>
          <w:tab w:val="clear" w:pos="709"/>
          <w:tab w:val="left" w:pos="142" w:leader="none"/>
          <w:tab w:val="left" w:pos="1134" w:leader="none"/>
        </w:tabs>
        <w:ind w:left="0" w:firstLine="567"/>
        <w:rPr>
          <w:rFonts w:ascii="Times New Roman" w:hAnsi="Times New Roman" w:eastAsia="Times New Roman"/>
          <w:sz w:val="28"/>
          <w:szCs w:val="28"/>
        </w:rPr>
      </w:pPr>
      <w:r>
        <w:rPr>
          <w:rFonts w:eastAsia="Times New Roman"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pPr>
        <w:pStyle w:val="Default"/>
        <w:numPr>
          <w:ilvl w:val="0"/>
          <w:numId w:val="6"/>
        </w:numPr>
        <w:tabs>
          <w:tab w:val="clear" w:pos="709"/>
          <w:tab w:val="left" w:pos="142" w:leader="none"/>
          <w:tab w:val="left" w:pos="1134" w:leader="none"/>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ilvl w:val="0"/>
          <w:numId w:val="6"/>
        </w:numPr>
        <w:tabs>
          <w:tab w:val="clear" w:pos="709"/>
          <w:tab w:val="left" w:pos="142" w:leader="none"/>
          <w:tab w:val="left" w:pos="1134" w:leader="none"/>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ListParagraph"/>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Style22"/>
        <w:numPr>
          <w:ilvl w:val="0"/>
          <w:numId w:val="6"/>
        </w:numPr>
        <w:shd w:val="clear" w:color="auto" w:fill="auto"/>
        <w:tabs>
          <w:tab w:val="clear" w:pos="709"/>
          <w:tab w:val="left" w:pos="142" w:leader="none"/>
          <w:tab w:val="left" w:pos="1276"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Style22"/>
        <w:numPr>
          <w:ilvl w:val="0"/>
          <w:numId w:val="6"/>
        </w:numPr>
        <w:shd w:val="clear" w:color="auto" w:fill="auto"/>
        <w:tabs>
          <w:tab w:val="clear" w:pos="709"/>
          <w:tab w:val="left" w:pos="851" w:leader="none"/>
          <w:tab w:val="left" w:pos="1134" w:leader="none"/>
        </w:tabs>
        <w:spacing w:lineRule="auto" w:line="240" w:before="0" w:after="0"/>
        <w:ind w:left="0" w:firstLine="567"/>
        <w:rPr>
          <w:rFonts w:ascii="Times New Roman" w:hAnsi="Times New Roman" w:cs="Times New Roman"/>
          <w:color w:val="000000"/>
          <w:sz w:val="28"/>
          <w:szCs w:val="28"/>
          <w:shd w:fill="FFFFFF" w:val="clear"/>
        </w:rPr>
      </w:pPr>
      <w:r>
        <w:rPr>
          <w:rFonts w:cs="Times New Roman" w:ascii="Times New Roman" w:hAnsi="Times New Roman"/>
          <w:sz w:val="28"/>
          <w:szCs w:val="28"/>
        </w:rPr>
        <w:t>выплаты членам профсоюзных организаций, полученные от данных профсоюзных организаций;</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eastAsia="Times New Roman" w:ascii="Times New Roman" w:hAnsi="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eastAsia="Times New Roman" w:ascii="Times New Roman" w:hAnsi="Times New Roman"/>
          <w:b/>
          <w:sz w:val="28"/>
          <w:szCs w:val="28"/>
          <w:lang w:eastAsia="ru-RU"/>
        </w:rPr>
        <w:t>"</w:t>
      </w:r>
      <w:r>
        <w:rPr>
          <w:rFonts w:ascii="Times New Roman" w:hAnsi="Times New Roman"/>
          <w:sz w:val="28"/>
          <w:szCs w:val="28"/>
        </w:rPr>
        <w:t>;</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60</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Style13"/>
          <w:rFonts w:cs="Times New Roman" w:ascii="Times New Roman" w:hAnsi="Times New Roman"/>
          <w:color w:val="000000"/>
          <w:sz w:val="28"/>
          <w:szCs w:val="28"/>
        </w:rPr>
        <w:t xml:space="preserve"> кроме случая, предусмотренного </w:t>
      </w:r>
      <w:r>
        <w:rPr>
          <w:rStyle w:val="Style13"/>
          <w:rFonts w:ascii="Times New Roman" w:hAnsi="Times New Roman"/>
          <w:color w:val="000000"/>
          <w:sz w:val="28"/>
        </w:rPr>
        <w:t xml:space="preserve">пунктом 39 </w:t>
      </w:r>
      <w:r>
        <w:rPr>
          <w:rStyle w:val="Style13"/>
          <w:rFonts w:cs="Times New Roman" w:ascii="Times New Roman" w:hAnsi="Times New Roman"/>
          <w:color w:val="000000"/>
          <w:sz w:val="28"/>
          <w:szCs w:val="28"/>
        </w:rPr>
        <w:t xml:space="preserve">настоящих </w:t>
      </w:r>
      <w:r>
        <w:rPr>
          <w:rStyle w:val="Style13"/>
          <w:rFonts w:ascii="Times New Roman" w:hAnsi="Times New Roman"/>
          <w:color w:val="000000"/>
          <w:sz w:val="28"/>
        </w:rPr>
        <w:t>Методических рекомендаций</w:t>
      </w:r>
      <w:r>
        <w:rPr>
          <w:rStyle w:val="Style13"/>
          <w:rFonts w:cs="Times New Roman" w:ascii="Times New Roman" w:hAnsi="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иные аналогичные выплаты.</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 xml:space="preserve">Также в строке </w:t>
      </w:r>
      <w:r>
        <w:rPr>
          <w:rFonts w:ascii="Times New Roman" w:hAnsi="Times New Roman"/>
          <w:b/>
          <w:sz w:val="28"/>
        </w:rPr>
        <w:t xml:space="preserve">"Иные доходы" </w:t>
      </w:r>
      <w:r>
        <w:rPr>
          <w:rFonts w:eastAsia="Times New Roman" w:ascii="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Normal"/>
        <w:ind w:firstLine="567"/>
        <w:rPr>
          <w:rFonts w:ascii="Times New Roman" w:hAnsi="Times New Roman" w:eastAsia="Times New Roman"/>
          <w:sz w:val="28"/>
          <w:szCs w:val="28"/>
        </w:rPr>
      </w:pPr>
      <w:r>
        <w:rPr>
          <w:rFonts w:eastAsia="Times New Roman"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r>
        <w:rPr>
          <w:rFonts w:eastAsia="Times New Roman" w:ascii="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 </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pPr>
        <w:pStyle w:val="ListParagraph"/>
        <w:numPr>
          <w:ilvl w:val="0"/>
          <w:numId w:val="1"/>
        </w:numPr>
        <w:ind w:left="0" w:firstLine="567"/>
        <w:rPr>
          <w:rFonts w:ascii="Times New Roman" w:hAnsi="Times New Roman"/>
          <w:sz w:val="28"/>
          <w:szCs w:val="28"/>
        </w:rPr>
      </w:pPr>
      <w:r>
        <w:rPr>
          <w:rFonts w:eastAsia="Times New Roman" w:ascii="Times New Roman" w:hAnsi="Times New Roman"/>
          <w:sz w:val="28"/>
          <w:szCs w:val="28"/>
          <w:lang w:eastAsia="ru-RU"/>
        </w:rPr>
        <w:t>С учетом целей антико</w:t>
      </w:r>
      <w:r>
        <w:rPr>
          <w:rFonts w:eastAsia="Times New Roman" w:ascii="Times New Roman" w:hAnsi="Times New Roman"/>
          <w:color w:val="000000"/>
          <w:sz w:val="28"/>
          <w:szCs w:val="28"/>
          <w:lang w:eastAsia="ru-RU"/>
        </w:rPr>
        <w:t>р</w:t>
      </w:r>
      <w:r>
        <w:rPr>
          <w:rFonts w:eastAsia="Times New Roman" w:ascii="Times New Roman" w:hAnsi="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eastAsia="Times New Roman" w:ascii="Times New Roman" w:hAnsi="Times New Roman"/>
          <w:b/>
          <w:sz w:val="28"/>
          <w:szCs w:val="28"/>
          <w:lang w:eastAsia="ru-RU"/>
        </w:rPr>
        <w:t xml:space="preserve"> не указываются </w:t>
      </w:r>
      <w:r>
        <w:rPr>
          <w:rFonts w:eastAsia="Times New Roman" w:ascii="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pPr>
        <w:pStyle w:val="Normal"/>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pPr>
        <w:pStyle w:val="Normal"/>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Normal"/>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Normal"/>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Normal"/>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pPr>
        <w:pStyle w:val="Normal"/>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pPr>
        <w:pStyle w:val="Normal"/>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pPr>
        <w:pStyle w:val="Normal"/>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1"/>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pPr>
        <w:pStyle w:val="Normal"/>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pPr>
        <w:pStyle w:val="Normal"/>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 салонами красоты и пр.;</w:t>
      </w:r>
    </w:p>
    <w:p>
      <w:pPr>
        <w:pStyle w:val="Normal"/>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pPr>
        <w:pStyle w:val="Normal"/>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Style13"/>
          <w:rFonts w:cs="Times New Roman" w:ascii="Times New Roman" w:hAnsi="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Normal"/>
        <w:tabs>
          <w:tab w:val="left" w:pos="709" w:leader="none"/>
        </w:tabs>
        <w:ind w:firstLine="567"/>
        <w:rPr>
          <w:rStyle w:val="Style13"/>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Style13"/>
          <w:rFonts w:cs="Times New Roman" w:ascii="Times New Roman" w:hAnsi="Times New Roman"/>
          <w:color w:val="000000"/>
          <w:sz w:val="28"/>
          <w:szCs w:val="28"/>
        </w:rPr>
        <w:t xml:space="preserve"> Федеральным законом</w:t>
      </w:r>
      <w:r>
        <w:rPr>
          <w:rFonts w:ascii="Times New Roman" w:hAnsi="Times New Roman"/>
          <w:sz w:val="28"/>
          <w:szCs w:val="28"/>
        </w:rPr>
        <w:t xml:space="preserve"> </w:t>
      </w:r>
      <w:r>
        <w:rPr>
          <w:rStyle w:val="Style13"/>
          <w:rFonts w:cs="Times New Roman"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pPr>
        <w:pStyle w:val="Normal"/>
        <w:tabs>
          <w:tab w:val="left" w:pos="709" w:leader="none"/>
        </w:tabs>
        <w:ind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eastAsia="Times New Roman" w:ascii="Times New Roman" w:hAnsi="Times New Roman"/>
          <w:sz w:val="28"/>
          <w:szCs w:val="28"/>
          <w:lang w:eastAsia="ru-RU"/>
        </w:rPr>
        <w:t xml:space="preserve">не подлежит отражению в разделе 1 справки. </w:t>
      </w:r>
    </w:p>
    <w:p>
      <w:pPr>
        <w:pStyle w:val="ListParagraph"/>
        <w:ind w:left="0" w:firstLine="709"/>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pPr>
        <w:pStyle w:val="ListParagraph"/>
        <w:ind w:left="567" w:hanging="0"/>
        <w:rPr>
          <w:rFonts w:ascii="Times New Roman" w:hAnsi="Times New Roman"/>
          <w:sz w:val="28"/>
          <w:szCs w:val="28"/>
        </w:rPr>
      </w:pPr>
      <w:r>
        <w:rPr>
          <w:rFonts w:ascii="Times New Roman" w:hAnsi="Times New Roman"/>
          <w:sz w:val="28"/>
          <w:szCs w:val="28"/>
        </w:rPr>
      </w:r>
    </w:p>
    <w:p>
      <w:pPr>
        <w:pStyle w:val="Normal"/>
        <w:tabs>
          <w:tab w:val="left" w:pos="709" w:leader="none"/>
        </w:tabs>
        <w:ind w:hanging="0"/>
        <w:jc w:val="center"/>
        <w:rPr>
          <w:rFonts w:ascii="Times New Roman" w:hAnsi="Times New Roman"/>
          <w:b/>
          <w:sz w:val="28"/>
          <w:szCs w:val="28"/>
        </w:rPr>
      </w:pPr>
      <w:r>
        <w:rPr>
          <w:rFonts w:ascii="Times New Roman" w:hAnsi="Times New Roman"/>
          <w:b/>
          <w:sz w:val="28"/>
          <w:szCs w:val="28"/>
        </w:rPr>
        <w:t>РАЗДЕЛ 2. СВЕДЕНИЯ О РАСХОДАХ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 </w:t>
      </w:r>
    </w:p>
    <w:p>
      <w:pPr>
        <w:pStyle w:val="Normal"/>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 справки не заполняют.</w:t>
      </w:r>
    </w:p>
    <w:p>
      <w:pPr>
        <w:pStyle w:val="ListParagraph"/>
        <w:ind w:left="0" w:firstLine="567"/>
        <w:rPr>
          <w:rFonts w:ascii="Times New Roman" w:hAnsi="Times New Roman"/>
          <w:sz w:val="28"/>
          <w:szCs w:val="28"/>
        </w:rPr>
      </w:pPr>
      <w:r>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ListParagraph"/>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b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w:t>
      </w:r>
      <w:r>
        <w:rPr>
          <w:rFonts w:ascii="Times New Roman" w:hAnsi="Times New Roman"/>
          <w:sz w:val="28"/>
          <w:szCs w:val="28"/>
        </w:rPr>
        <w:t>й оснований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ListParagraph"/>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ListParagraph"/>
        <w:numPr>
          <w:ilvl w:val="0"/>
          <w:numId w:val="1"/>
        </w:numPr>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pPr>
        <w:pStyle w:val="ListParagraph"/>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pStyle w:val="Normal"/>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справки;</w:t>
      </w:r>
    </w:p>
    <w:p>
      <w:pPr>
        <w:pStyle w:val="Normal"/>
        <w:ind w:firstLine="567"/>
        <w:rPr>
          <w:rFonts w:ascii="Times New Roman" w:hAnsi="Times New Roman"/>
          <w:sz w:val="28"/>
          <w:szCs w:val="28"/>
        </w:rPr>
      </w:pPr>
      <w:r>
        <w:rPr>
          <w:rFonts w:ascii="Times New Roman" w:hAnsi="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ilvl w:val="0"/>
          <w:numId w:val="1"/>
        </w:numPr>
        <w:ind w:left="0" w:firstLine="567"/>
        <w:jc w:val="both"/>
        <w:rPr/>
      </w:pPr>
      <w:r>
        <w:rPr/>
        <w:t xml:space="preserve">В графе </w:t>
      </w:r>
      <w:r>
        <w:rPr>
          <w:b/>
        </w:rPr>
        <w:t xml:space="preserve">"Основания приобретения имущества" </w:t>
      </w:r>
      <w:r>
        <w:rPr/>
        <w:t>указываются регистрационный номер и дата записи в Едином государственном реестре недвижимости (ЕГРН)</w:t>
      </w:r>
      <w:r>
        <w:rPr>
          <w:bCs/>
        </w:rPr>
        <w:t xml:space="preserve">. Также указываются </w:t>
      </w:r>
      <w:r>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ConsPlusNormal"/>
        <w:ind w:firstLine="567"/>
        <w:jc w:val="both"/>
        <w:rPr/>
      </w:pPr>
      <w:r>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rPr/>
      </w:pPr>
      <w:r>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rPr/>
      </w:pPr>
      <w:r>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ilvl w:val="0"/>
          <w:numId w:val="1"/>
        </w:numPr>
        <w:ind w:left="0" w:firstLine="567"/>
        <w:jc w:val="both"/>
        <w:rPr/>
      </w:pPr>
      <w:r>
        <w:rPr>
          <w:b/>
        </w:rPr>
        <w:t>Особенности заполнения раздела "Сведения о расходах"</w:t>
      </w:r>
      <w:r>
        <w:rPr/>
        <w:t>:</w:t>
      </w:r>
    </w:p>
    <w:p>
      <w:pPr>
        <w:pStyle w:val="Normal"/>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pStyle w:val="Normal"/>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Normal"/>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Normal"/>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pPr>
        <w:pStyle w:val="Normal"/>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Normal"/>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Normal"/>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Normal"/>
        <w:ind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eastAsia="Times New Roman"/>
          <w:b/>
          <w:sz w:val="28"/>
          <w:szCs w:val="28"/>
        </w:rPr>
      </w:pPr>
      <w:r>
        <w:rPr>
          <w:rFonts w:eastAsia="Times New Roman" w:ascii="Times New Roman" w:hAnsi="Times New Roman"/>
          <w:b/>
          <w:sz w:val="28"/>
          <w:szCs w:val="28"/>
          <w:lang w:eastAsia="ru-RU"/>
        </w:rPr>
        <w:t>РАЗДЕЛ 3. СВЕДЕНИЯ ОБ ИМУЩЕСТВЕ</w:t>
      </w:r>
    </w:p>
    <w:p>
      <w:pPr>
        <w:pStyle w:val="Normal"/>
        <w:ind w:firstLine="851"/>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rPr>
          <w:rFonts w:ascii="Times New Roman" w:hAnsi="Times New Roman" w:eastAsia="Times New Roman"/>
          <w:b/>
          <w:sz w:val="28"/>
          <w:szCs w:val="28"/>
        </w:rPr>
      </w:pPr>
      <w:r>
        <w:rPr>
          <w:rFonts w:eastAsia="Times New Roman" w:ascii="Times New Roman" w:hAnsi="Times New Roman"/>
          <w:b/>
          <w:sz w:val="28"/>
          <w:szCs w:val="28"/>
          <w:lang w:eastAsia="ru-RU"/>
        </w:rPr>
        <w:t>Подраздел 3.1 Недвижимое имущество</w:t>
      </w:r>
    </w:p>
    <w:p>
      <w:pPr>
        <w:pStyle w:val="ListParagraph"/>
        <w:ind w:left="567" w:hanging="0"/>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pStyle w:val="Normal"/>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ListParagraph"/>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numPr>
          <w:ilvl w:val="0"/>
          <w:numId w:val="1"/>
        </w:numPr>
        <w:ind w:left="0" w:firstLine="709"/>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ListParagraph"/>
        <w:numPr>
          <w:ilvl w:val="0"/>
          <w:numId w:val="1"/>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1"/>
        </w:numPr>
        <w:ind w:left="0" w:firstLine="567"/>
        <w:outlineLvl w:val="1"/>
        <w:rPr>
          <w:rFonts w:ascii="Times New Roman" w:hAnsi="Times New Roman"/>
          <w:sz w:val="28"/>
          <w:szCs w:val="28"/>
        </w:rPr>
      </w:pPr>
      <w:r>
        <w:rPr>
          <w:rStyle w:val="Style13"/>
          <w:rFonts w:cs="Times New Roman"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ListParagraph"/>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Normal"/>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ListParagraph"/>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color w:val="000000"/>
          <w:sz w:val="28"/>
          <w:szCs w:val="28"/>
        </w:rPr>
        <w:t xml:space="preserve">При наличии в собственности </w:t>
      </w:r>
      <w:r>
        <w:rPr>
          <w:rStyle w:val="Style13"/>
          <w:rFonts w:cs="Times New Roman" w:ascii="Times New Roman" w:hAnsi="Times New Roman"/>
          <w:b/>
          <w:color w:val="000000"/>
          <w:sz w:val="28"/>
          <w:szCs w:val="28"/>
        </w:rPr>
        <w:t>жилого или садового дома,</w:t>
      </w:r>
      <w:r>
        <w:rPr>
          <w:rStyle w:val="Style13"/>
          <w:rFonts w:cs="Times New Roman"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Style w:val="Style13"/>
          <w:rFonts w:cs="Times New Roman" w:ascii="Times New Roman" w:hAnsi="Times New Roman"/>
          <w:color w:val="000000"/>
          <w:sz w:val="28"/>
          <w:szCs w:val="28"/>
        </w:rPr>
        <w:t>В строке "</w:t>
      </w:r>
      <w:r>
        <w:rPr>
          <w:rStyle w:val="Style13"/>
          <w:rFonts w:cs="Times New Roman" w:ascii="Times New Roman" w:hAnsi="Times New Roman"/>
          <w:b/>
          <w:color w:val="000000"/>
          <w:sz w:val="28"/>
          <w:szCs w:val="28"/>
        </w:rPr>
        <w:t>Гаражи</w:t>
      </w:r>
      <w:r>
        <w:rPr>
          <w:rStyle w:val="Style13"/>
          <w:rFonts w:cs="Times New Roman" w:ascii="Times New Roman" w:hAnsi="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Style13"/>
          <w:rFonts w:cs="Times New Roman" w:ascii="Times New Roman" w:hAnsi="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Style13"/>
          <w:rFonts w:cs="Times New Roman" w:ascii="Times New Roman" w:hAnsi="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pStyle w:val="Normal"/>
        <w:ind w:firstLine="567"/>
        <w:rPr>
          <w:rFonts w:ascii="Times New Roman" w:hAnsi="Times New Roman"/>
          <w:sz w:val="28"/>
          <w:szCs w:val="28"/>
        </w:rPr>
      </w:pPr>
      <w:r>
        <w:rPr>
          <w:rFonts w:ascii="Times New Roman" w:hAnsi="Times New Roman"/>
          <w:sz w:val="28"/>
          <w:szCs w:val="28"/>
        </w:rPr>
        <w:t>1) субъект Российской Федерации;</w:t>
      </w:r>
    </w:p>
    <w:p>
      <w:pPr>
        <w:pStyle w:val="Normal"/>
        <w:ind w:firstLine="567"/>
        <w:rPr>
          <w:rFonts w:ascii="Times New Roman" w:hAnsi="Times New Roman"/>
          <w:sz w:val="28"/>
          <w:szCs w:val="28"/>
        </w:rPr>
      </w:pPr>
      <w:r>
        <w:rPr>
          <w:rFonts w:ascii="Times New Roman" w:hAnsi="Times New Roman"/>
          <w:sz w:val="28"/>
          <w:szCs w:val="28"/>
        </w:rPr>
        <w:t>2) район;</w:t>
      </w:r>
    </w:p>
    <w:p>
      <w:pPr>
        <w:pStyle w:val="Normal"/>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pPr>
        <w:pStyle w:val="Normal"/>
        <w:ind w:firstLine="567"/>
        <w:rPr>
          <w:rFonts w:ascii="Times New Roman" w:hAnsi="Times New Roman"/>
          <w:sz w:val="28"/>
          <w:szCs w:val="28"/>
        </w:rPr>
      </w:pPr>
      <w:r>
        <w:rPr>
          <w:rFonts w:ascii="Times New Roman" w:hAnsi="Times New Roman"/>
          <w:sz w:val="28"/>
          <w:szCs w:val="28"/>
        </w:rPr>
        <w:t>4) улица (проспект, переулок и т.д.);</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Также рекомендуется указывать индекс.</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pPr>
        <w:pStyle w:val="Normal"/>
        <w:ind w:firstLine="567"/>
        <w:rPr>
          <w:rFonts w:ascii="Times New Roman" w:hAnsi="Times New Roman"/>
          <w:sz w:val="28"/>
          <w:szCs w:val="28"/>
        </w:rPr>
      </w:pPr>
      <w:r>
        <w:rPr>
          <w:rFonts w:ascii="Times New Roman" w:hAnsi="Times New Roman"/>
          <w:sz w:val="28"/>
          <w:szCs w:val="28"/>
        </w:rPr>
        <w:t>1) наименование государства;</w:t>
      </w:r>
    </w:p>
    <w:p>
      <w:pPr>
        <w:pStyle w:val="Normal"/>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pPr>
        <w:pStyle w:val="Normal"/>
        <w:ind w:firstLine="567"/>
        <w:rPr>
          <w:rFonts w:ascii="Times New Roman" w:hAnsi="Times New Roman"/>
          <w:strike/>
          <w:sz w:val="28"/>
          <w:szCs w:val="28"/>
        </w:rPr>
      </w:pPr>
      <w:r>
        <w:rPr>
          <w:rFonts w:ascii="Times New Roman" w:hAnsi="Times New Roman"/>
          <w:sz w:val="28"/>
          <w:szCs w:val="28"/>
        </w:rPr>
        <w:t>3) почтовый адрес.</w:t>
      </w:r>
    </w:p>
    <w:p>
      <w:pPr>
        <w:pStyle w:val="ListParagraph"/>
        <w:numPr>
          <w:ilvl w:val="0"/>
          <w:numId w:val="1"/>
        </w:numPr>
        <w:ind w:left="0" w:firstLine="567"/>
        <w:rPr>
          <w:rStyle w:val="Style13"/>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Style13"/>
          <w:rFonts w:cs="Times New Roman"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ListParagraph"/>
        <w:numPr>
          <w:ilvl w:val="0"/>
          <w:numId w:val="1"/>
        </w:numPr>
        <w:ind w:left="0" w:firstLine="567"/>
        <w:rPr>
          <w:rStyle w:val="Style13"/>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ListParagraph"/>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ListParagraph"/>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gtFrame="https://lk.rosreestr.ru/eservices/real-estate-objects-online">
        <w:r>
          <w:rPr>
            <w:rStyle w:val="-"/>
            <w:rFonts w:ascii="Times New Roman" w:hAnsi="Times New Roman"/>
            <w:sz w:val="28"/>
            <w:szCs w:val="28"/>
          </w:rPr>
          <w:t>https://lk.rosreestr.ru/eservices/real-estate-objects-online</w:t>
        </w:r>
      </w:hyperlink>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ListParagraph"/>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77:02:0014017:1994-72/004/2024-2 от 27 марта 2024 г.; договор купли-продажи от 19 февраля 2024 г. или иное.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pPr>
        <w:pStyle w:val="ListParagraph"/>
        <w:ind w:left="0" w:firstLine="567"/>
        <w:rPr>
          <w:rFonts w:ascii="Times New Roman" w:hAnsi="Times New Roman"/>
          <w:sz w:val="28"/>
          <w:szCs w:val="28"/>
        </w:rPr>
      </w:pPr>
      <w:r>
        <w:rPr>
          <w:rFonts w:ascii="Times New Roman" w:hAnsi="Times New Roman"/>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ListParagraph"/>
        <w:ind w:left="0" w:firstLine="567"/>
        <w:rPr>
          <w:rFonts w:ascii="Times New Roman" w:hAnsi="Times New Roman"/>
          <w:sz w:val="28"/>
          <w:szCs w:val="28"/>
        </w:rPr>
      </w:pPr>
      <w:r>
        <w:rPr>
          <w:rFonts w:ascii="Times New Roman" w:hAnsi="Times New Roman"/>
          <w:sz w:val="28"/>
          <w:szCs w:val="28"/>
        </w:rPr>
        <w:t>1) на лиц, замещающих (занимающих):</w:t>
      </w:r>
    </w:p>
    <w:p>
      <w:pPr>
        <w:pStyle w:val="ListParagraph"/>
        <w:ind w:left="0" w:firstLine="567"/>
        <w:rPr>
          <w:rFonts w:ascii="Times New Roman" w:hAnsi="Times New Roman"/>
          <w:sz w:val="28"/>
          <w:szCs w:val="28"/>
        </w:rPr>
      </w:pPr>
      <w:bookmarkStart w:id="2" w:name="Par1"/>
      <w:bookmarkEnd w:id="2"/>
      <w:r>
        <w:rPr>
          <w:rFonts w:ascii="Times New Roman" w:hAnsi="Times New Roman"/>
          <w:sz w:val="28"/>
          <w:szCs w:val="28"/>
        </w:rPr>
        <w:t>государственные должности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pPr>
        <w:pStyle w:val="ListParagraph"/>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rPr/>
      </w:pPr>
      <w:bookmarkStart w:id="3" w:name="Par8"/>
      <w:bookmarkEnd w:id="3"/>
      <w:r>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rPr/>
      </w:pPr>
      <w:r>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pPr>
        <w:pStyle w:val="ListParagraph"/>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pPr>
        <w:pStyle w:val="ListParagraph"/>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pPr>
        <w:pStyle w:val="ListParagraph"/>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26" w:tgtFrame="https://www.gibdd.ru/r/77/contacts/div1145039/">
        <w:r>
          <w:rPr>
            <w:rFonts w:eastAsia="Times New Roman" w:ascii="Times New Roman" w:hAnsi="Times New Roman"/>
            <w:bCs/>
            <w:sz w:val="28"/>
            <w:szCs w:val="28"/>
            <w:lang w:eastAsia="ru-RU"/>
          </w:rPr>
          <w:t>МО ГИБДД ТНРЭР № 2 ГУ МВД России по г. Москве</w:t>
        </w:r>
      </w:hyperlink>
      <w:r>
        <w:rPr>
          <w:rFonts w:eastAsia="Times New Roman" w:ascii="Times New Roman" w:hAnsi="Times New Roman"/>
          <w:sz w:val="28"/>
          <w:szCs w:val="28"/>
          <w:lang w:eastAsia="ru-RU"/>
        </w:rPr>
        <w:t xml:space="preserve">, </w:t>
      </w:r>
      <w:hyperlink r:id="rId27" w:tgtFrame="https://www.gibdd.ru/r/66/contacts/div1165058/">
        <w:r>
          <w:rPr>
            <w:rFonts w:eastAsia="Times New Roman" w:ascii="Times New Roman" w:hAnsi="Times New Roman"/>
            <w:bCs/>
            <w:sz w:val="28"/>
            <w:szCs w:val="28"/>
            <w:lang w:eastAsia="ru-RU"/>
          </w:rPr>
          <w:t>ОГИБДД ММО МВД России "Шалинский</w:t>
        </w:r>
      </w:hyperlink>
      <w:r>
        <w:rPr>
          <w:rFonts w:eastAsia="Times New Roman" w:ascii="Times New Roman" w:hAnsi="Times New Roman"/>
          <w:sz w:val="28"/>
          <w:szCs w:val="28"/>
          <w:lang w:eastAsia="ru-RU"/>
        </w:rPr>
        <w:t xml:space="preserve">", </w:t>
      </w:r>
      <w:hyperlink r:id="rId28" w:tgtFrame="https://www.gibdd.ru/r/66/contacts/div1165043/">
        <w:r>
          <w:rPr>
            <w:rFonts w:eastAsia="Times New Roman" w:ascii="Times New Roman" w:hAnsi="Times New Roman"/>
            <w:bCs/>
            <w:sz w:val="28"/>
            <w:szCs w:val="28"/>
            <w:lang w:eastAsia="ru-RU"/>
          </w:rPr>
          <w:t>ОГИБДД ММО МВД России по Новолялинскому району</w:t>
        </w:r>
      </w:hyperlink>
      <w:r>
        <w:rPr>
          <w:rFonts w:eastAsia="Times New Roman" w:ascii="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eastAsia="Times New Roman" w:ascii="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eastAsia="Times New Roman" w:ascii="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 или свидетельству о регистрации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Также допускается указание только кода подразделения ГИБДД в соответствии со свидетельством о регистрации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ListParagraph"/>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Normal"/>
        <w:ind w:firstLine="567"/>
        <w:rPr>
          <w:rFonts w:ascii="Times New Roman" w:hAnsi="Times New Roman"/>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Normal"/>
        <w:widowControl w:val="false"/>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Наименование цифрового финансового актива или цифрового права</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Style13"/>
          <w:rFonts w:cs="Times New Roman" w:ascii="Times New Roman" w:hAnsi="Times New Roman"/>
          <w:sz w:val="28"/>
          <w:szCs w:val="28"/>
          <w:shd w:fill="auto" w:val="clear"/>
        </w:rPr>
        <w:t xml:space="preserve"> или иного цифрового права.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Общее количество</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Style13"/>
          <w:rFonts w:cs="Times New Roman" w:ascii="Times New Roman" w:hAnsi="Times New Roman"/>
          <w:sz w:val="28"/>
          <w:szCs w:val="28"/>
          <w:shd w:fill="auto" w:val="clear"/>
        </w:rPr>
        <w:t xml:space="preserve"> или цифровых прав.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Сведения об операторе информационной системы, в которой осуществляется выпуск цифровых финансовых активов</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pPr>
        <w:pStyle w:val="Normal"/>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1) право требовать передачи вещи (вещей) (например, право требования золота в слитках при инвестировании в добычу золота); </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pPr>
        <w:pStyle w:val="ListParagraph"/>
        <w:widowControl w:val="false"/>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Уникальное условное обозначение</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уникальное условное обозначение, идентифицирующее утилитарное цифровое право.</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утилитарного цифрового права.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Объем инвестиций (руб.)</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Style13"/>
          <w:rFonts w:cs="Times New Roman" w:ascii="Times New Roman" w:hAnsi="Times New Roman"/>
          <w:sz w:val="28"/>
          <w:szCs w:val="28"/>
          <w:shd w:fill="auto" w:val="clear"/>
        </w:rPr>
        <w:t xml:space="preserve">Инвестиции, выраженные в иностранной валюте, указываются в рублях по курсу Банка России на дату их осуществления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Style w:val="Style13"/>
          <w:rFonts w:cs="Times New Roman" w:ascii="Times New Roman" w:hAnsi="Times New Roman"/>
          <w:sz w:val="28"/>
          <w:szCs w:val="28"/>
          <w:shd w:fill="auto" w:val="clear"/>
        </w:rPr>
        <w:t>.</w:t>
      </w:r>
    </w:p>
    <w:p>
      <w:pPr>
        <w:pStyle w:val="Normal"/>
        <w:widowControl w:val="false"/>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Сведения об операторе инвестиционной платформы</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Реестр операторов инвестиционных платформ размещен на официальном сайте Банка России по ссылке: https://cbr.ru/admissionfinmarket/navigator/oip/</w:t>
      </w:r>
      <w:r>
        <w:rPr>
          <w:rFonts w:ascii="Times New Roman" w:hAnsi="Times New Roman"/>
          <w:sz w:val="28"/>
          <w:szCs w:val="28"/>
        </w:rPr>
        <w:t xml:space="preserve">. </w:t>
      </w:r>
    </w:p>
    <w:p>
      <w:pPr>
        <w:pStyle w:val="ListParagraph"/>
        <w:widowControl w:val="false"/>
        <w:ind w:left="0" w:firstLine="567"/>
        <w:rPr>
          <w:rStyle w:val="Style13"/>
          <w:rFonts w:ascii="Times New Roman" w:hAnsi="Times New Roman" w:cs="Times New Roman"/>
          <w:sz w:val="28"/>
          <w:szCs w:val="28"/>
          <w:shd w:fill="auto" w:val="clear"/>
        </w:rPr>
      </w:pPr>
      <w:r>
        <w:rPr>
          <w:rFonts w:ascii="Times New Roman" w:hAnsi="Times New Roman"/>
          <w:b/>
          <w:sz w:val="28"/>
          <w:szCs w:val="28"/>
        </w:rPr>
        <w:t>Подраздел 3.5. Цифровая валюта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Примерами цифровой валюты являются: Биткоин (BTC), Эфириум (ETH), Тезер (USDT) и др.</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Наименование цифровой валюты</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цифровой валюты.</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отношении цифровой валюты, полученной в результате осуществления майнинга или участия в майнинг-пуле, в графе </w:t>
      </w:r>
      <w:r>
        <w:rPr>
          <w:rStyle w:val="Style13"/>
          <w:rFonts w:cs="Times New Roman" w:ascii="Times New Roman" w:hAnsi="Times New Roman"/>
          <w:b/>
          <w:sz w:val="28"/>
          <w:szCs w:val="28"/>
          <w:shd w:fill="auto" w:val="clear"/>
        </w:rPr>
        <w:t>"Дата приобретения"</w:t>
      </w:r>
      <w:r>
        <w:rPr>
          <w:rStyle w:val="Style13"/>
          <w:rFonts w:cs="Times New Roman" w:ascii="Times New Roman" w:hAnsi="Times New Roman"/>
          <w:sz w:val="28"/>
          <w:szCs w:val="28"/>
          <w:shd w:fill="auto" w:val="clear"/>
        </w:rPr>
        <w:t xml:space="preserve"> указывается дата получения цифровой валюты лицом, осуществляющим майнинг цифровой валюты (в том числе участником майнинг-пула).</w:t>
      </w:r>
    </w:p>
    <w:p>
      <w:pPr>
        <w:pStyle w:val="ListParagraph"/>
        <w:widowControl w:val="false"/>
        <w:numPr>
          <w:ilvl w:val="0"/>
          <w:numId w:val="1"/>
        </w:numPr>
        <w:ind w:left="0" w:firstLine="567"/>
        <w:rPr>
          <w:rFonts w:ascii="Times New Roman" w:hAnsi="Times New Roman"/>
          <w:b/>
          <w:sz w:val="28"/>
          <w:szCs w:val="28"/>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Общее количество</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точное количество цифровой валюты, находящейся в собственности (без округления). </w:t>
      </w:r>
    </w:p>
    <w:p>
      <w:pPr>
        <w:pStyle w:val="ListParagraph"/>
        <w:ind w:left="0"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pStyle w:val="Normal"/>
        <w:ind w:hanging="0"/>
        <w:jc w:val="center"/>
        <w:rPr>
          <w:rFonts w:ascii="Times New Roman" w:hAnsi="Times New Roman"/>
          <w:b/>
          <w:sz w:val="28"/>
          <w:szCs w:val="28"/>
        </w:rPr>
      </w:pPr>
      <w:r>
        <w:rPr>
          <w:rFonts w:ascii="Times New Roman" w:hAnsi="Times New Roman"/>
          <w:b/>
          <w:sz w:val="28"/>
          <w:szCs w:val="28"/>
        </w:rPr>
        <w:t>И ИНЫХ КРЕДИТНЫХ ОРГАНИЗАЦИЯХ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Normal"/>
        <w:tabs>
          <w:tab w:val="clear" w:pos="709"/>
          <w:tab w:val="left" w:pos="567" w:leader="none"/>
          <w:tab w:val="left" w:pos="993" w:leader="none"/>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ListParagraph"/>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ListParagraph"/>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pPr>
        <w:pStyle w:val="Normal"/>
        <w:numPr>
          <w:ilvl w:val="0"/>
          <w:numId w:val="0"/>
        </w:numPr>
        <w:ind w:firstLine="567"/>
        <w:outlineLvl w:val="1"/>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pPr>
        <w:pStyle w:val="ListParagraph"/>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pPr>
        <w:pStyle w:val="ListParagraph"/>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pPr>
        <w:pStyle w:val="ListParagraph"/>
        <w:ind w:left="0" w:firstLine="567"/>
        <w:rPr>
          <w:rFonts w:ascii="Times New Roman" w:hAnsi="Times New Roman"/>
          <w:sz w:val="28"/>
          <w:szCs w:val="28"/>
        </w:rPr>
      </w:pPr>
      <w:r>
        <w:rPr>
          <w:rFonts w:ascii="Times New Roman" w:hAnsi="Times New Roman"/>
          <w:sz w:val="28"/>
          <w:szCs w:val="28"/>
        </w:rPr>
        <w:t>7) номинальный счет;</w:t>
      </w:r>
    </w:p>
    <w:p>
      <w:pPr>
        <w:pStyle w:val="ListParagraph"/>
        <w:ind w:left="0" w:firstLine="567"/>
        <w:rPr>
          <w:rFonts w:ascii="Times New Roman" w:hAnsi="Times New Roman"/>
          <w:sz w:val="28"/>
          <w:szCs w:val="28"/>
        </w:rPr>
      </w:pPr>
      <w:r>
        <w:rPr>
          <w:rFonts w:ascii="Times New Roman" w:hAnsi="Times New Roman"/>
          <w:sz w:val="28"/>
          <w:szCs w:val="28"/>
        </w:rPr>
        <w:t>8) счет эскроу;</w:t>
      </w:r>
    </w:p>
    <w:p>
      <w:pPr>
        <w:pStyle w:val="ListParagraph"/>
        <w:ind w:left="0" w:firstLine="567"/>
        <w:rPr>
          <w:rFonts w:ascii="Times New Roman" w:hAnsi="Times New Roman"/>
          <w:sz w:val="28"/>
          <w:szCs w:val="28"/>
        </w:rPr>
      </w:pPr>
      <w:r>
        <w:rPr>
          <w:rFonts w:ascii="Times New Roman" w:hAnsi="Times New Roman"/>
          <w:sz w:val="28"/>
          <w:szCs w:val="28"/>
        </w:rPr>
        <w:t>9) счет цифрового рубля.</w:t>
      </w:r>
    </w:p>
    <w:p>
      <w:pPr>
        <w:pStyle w:val="Annotationtext"/>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 w:tgtFrame="https://www.cbr.ru/hd_base/metall/metall_base_new/">
        <w:r>
          <w:rPr>
            <w:rStyle w:val="-"/>
            <w:rFonts w:ascii="Times New Roman" w:hAnsi="Times New Roman"/>
            <w:sz w:val="28"/>
            <w:szCs w:val="28"/>
          </w:rPr>
          <w:t>https://www.cbr.ru/hd_base/metall/metall_base_new/</w:t>
        </w:r>
      </w:hyperlink>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pPr>
        <w:pStyle w:val="ListParagraph"/>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pPr>
        <w:pStyle w:val="ListParagraph"/>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7) синтетические счета.</w:t>
      </w:r>
    </w:p>
    <w:p>
      <w:pPr>
        <w:pStyle w:val="ListParagraph"/>
        <w:numPr>
          <w:ilvl w:val="0"/>
          <w:numId w:val="1"/>
        </w:numPr>
        <w:ind w:left="0" w:firstLine="567"/>
        <w:rPr>
          <w:rFonts w:ascii="Times New Roman" w:hAnsi="Times New Roman"/>
          <w:sz w:val="28"/>
          <w:szCs w:val="28"/>
          <w:shd w:fill="FFFFFF" w:val="clear"/>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ListParagraph"/>
        <w:ind w:left="0" w:firstLine="567"/>
        <w:rPr>
          <w:rStyle w:val="Style13"/>
          <w:rFonts w:ascii="Times New Roman" w:hAnsi="Times New Roman"/>
        </w:rPr>
      </w:pPr>
      <w:r>
        <w:rPr>
          <w:rStyle w:val="Style13"/>
          <w:rFonts w:cs="Times New Roman"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ListParagraph"/>
        <w:ind w:left="0" w:firstLine="567"/>
        <w:rPr>
          <w:rFonts w:ascii="Times New Roman" w:hAnsi="Times New Roman"/>
          <w:sz w:val="28"/>
          <w:szCs w:val="28"/>
        </w:rPr>
      </w:pPr>
      <w:r>
        <w:rPr>
          <w:rStyle w:val="Style13"/>
          <w:rFonts w:cs="Times New Roman"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ListParagraph"/>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Style13"/>
          <w:rFonts w:cs="Times New Roman" w:ascii="Times New Roman" w:hAnsi="Times New Roman"/>
          <w:sz w:val="28"/>
          <w:szCs w:val="28"/>
        </w:rPr>
        <w:t>107016, Москва, ул. Неглинная, д. 12, к. В.</w:t>
      </w:r>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учетом </w:t>
      </w:r>
      <w:r>
        <w:rPr>
          <w:rFonts w:ascii="Times New Roman" w:hAnsi="Times New Roman"/>
          <w:sz w:val="28"/>
        </w:rPr>
        <w:t xml:space="preserve">пунктов </w:t>
      </w:r>
      <w:r>
        <w:rPr>
          <w:rFonts w:ascii="Times New Roman" w:hAnsi="Times New Roman"/>
          <w:sz w:val="28"/>
          <w:szCs w:val="28"/>
        </w:rPr>
        <w:t>153</w:t>
      </w:r>
      <w:r>
        <w:rPr>
          <w:rFonts w:ascii="Times New Roman" w:hAnsi="Times New Roman"/>
          <w:sz w:val="28"/>
        </w:rPr>
        <w:t xml:space="preserve"> и </w:t>
      </w:r>
      <w:r>
        <w:rPr>
          <w:rFonts w:ascii="Times New Roman" w:hAnsi="Times New Roman"/>
          <w:sz w:val="28"/>
          <w:szCs w:val="28"/>
        </w:rPr>
        <w:t>154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pPr>
        <w:pStyle w:val="ListParagraph"/>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ListParagraph"/>
        <w:ind w:left="0" w:firstLine="567"/>
        <w:rPr>
          <w:rFonts w:ascii="Times New Roman" w:hAnsi="Times New Roman"/>
          <w:sz w:val="28"/>
          <w:szCs w:val="28"/>
        </w:rPr>
      </w:pPr>
      <w:r>
        <w:rPr>
          <w:rFonts w:eastAsia="Times New Roman"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ListParagraph"/>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ListParagraph"/>
        <w:numPr>
          <w:ilvl w:val="0"/>
          <w:numId w:val="1"/>
        </w:numPr>
        <w:ind w:left="0" w:firstLine="567"/>
        <w:rPr>
          <w:rStyle w:val="Style13"/>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Style13"/>
          <w:rFonts w:cs="Times New Roman" w:ascii="Times New Roman" w:hAnsi="Times New Roman"/>
          <w:color w:val="000000"/>
          <w:sz w:val="28"/>
          <w:szCs w:val="28"/>
        </w:rPr>
        <w:t xml:space="preserve">не допускается указание даты выпуска (перевыпуска) платежной карты.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pPr>
        <w:pStyle w:val="ListParagraph"/>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ListParagraph"/>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pPr>
        <w:pStyle w:val="ListParagraph"/>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pPr>
        <w:pStyle w:val="ListParagraph"/>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2025</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2024</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2022</w:t>
      </w:r>
      <w:r>
        <w:rPr>
          <w:rFonts w:ascii="Times New Roman" w:hAnsi="Times New Roman"/>
          <w:sz w:val="28"/>
          <w:szCs w:val="28"/>
        </w:rPr>
        <w:t>,</w:t>
      </w:r>
      <w:r>
        <w:rPr>
          <w:rFonts w:ascii="Times New Roman" w:hAnsi="Times New Roman"/>
          <w:sz w:val="28"/>
        </w:rPr>
        <w:t xml:space="preserve"> 2023</w:t>
      </w:r>
      <w:r>
        <w:rPr>
          <w:rFonts w:ascii="Times New Roman" w:hAnsi="Times New Roman"/>
          <w:sz w:val="28"/>
          <w:szCs w:val="28"/>
        </w:rPr>
        <w:t xml:space="preserve"> и 2024</w:t>
      </w:r>
      <w:r>
        <w:rPr>
          <w:rFonts w:ascii="Times New Roman" w:hAnsi="Times New Roman"/>
          <w:sz w:val="28"/>
        </w:rPr>
        <w:t xml:space="preserve"> годы (в таком случае в отношении каждого счета указывается сумма поступивших на него в 2024 году денежных средств). </w:t>
      </w:r>
    </w:p>
    <w:p>
      <w:pPr>
        <w:pStyle w:val="Normal"/>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pPr>
        <w:pStyle w:val="Normal"/>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pPr>
        <w:pStyle w:val="ListParagraph"/>
        <w:numPr>
          <w:ilvl w:val="0"/>
          <w:numId w:val="1"/>
        </w:numPr>
        <w:ind w:left="0" w:firstLine="567"/>
        <w:rPr>
          <w:rFonts w:ascii="Times New Roman" w:hAnsi="Times New Roman"/>
          <w:sz w:val="28"/>
          <w:szCs w:val="28"/>
        </w:rPr>
      </w:pPr>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w:t>
      </w:r>
      <w:r>
        <w:rPr>
          <w:rFonts w:ascii="Times New Roman" w:hAnsi="Times New Roman"/>
          <w:sz w:val="28"/>
          <w:szCs w:val="28"/>
        </w:rPr>
        <w:t xml:space="preserve">Во всех остальных случаях учитывается только доход служащего (работника) </w:t>
      </w:r>
      <w:r>
        <w:rPr>
          <w:rFonts w:ascii="Times New Roman" w:hAnsi="Times New Roman"/>
          <w:sz w:val="28"/>
        </w:rPr>
        <w:t>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pPr>
        <w:pStyle w:val="Normal"/>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pPr>
        <w:pStyle w:val="ListParagraph"/>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доходами в предыдущие годы.</w:t>
      </w:r>
    </w:p>
    <w:p>
      <w:pPr>
        <w:pStyle w:val="ListParagraph"/>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p>
    <w:p>
      <w:pPr>
        <w:pStyle w:val="ListParagraph"/>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w:t>
      </w:r>
    </w:p>
    <w:p>
      <w:pPr>
        <w:pStyle w:val="ListParagraph"/>
        <w:ind w:left="0" w:firstLine="567"/>
        <w:rPr>
          <w:rFonts w:ascii="Times New Roman" w:hAnsi="Times New Roman"/>
          <w:sz w:val="28"/>
          <w:szCs w:val="28"/>
        </w:rPr>
      </w:pPr>
      <w:r>
        <w:rPr>
          <w:rFonts w:ascii="Times New Roman" w:hAnsi="Times New Roman"/>
          <w:sz w:val="28"/>
          <w:szCs w:val="28"/>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pPr>
        <w:pStyle w:val="ListParagraph"/>
        <w:ind w:left="0" w:firstLine="567"/>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pPr>
        <w:pStyle w:val="ListParagraph"/>
        <w:ind w:left="0" w:firstLine="567"/>
        <w:rPr>
          <w:rFonts w:ascii="Times New Roman" w:hAnsi="Times New Roman"/>
          <w:sz w:val="28"/>
          <w:szCs w:val="28"/>
        </w:rPr>
      </w:pPr>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ListParagraph"/>
        <w:ind w:left="0" w:firstLine="567"/>
        <w:rPr>
          <w:rFonts w:ascii="Times New Roman" w:hAnsi="Times New Roman"/>
          <w:sz w:val="28"/>
          <w:szCs w:val="28"/>
        </w:rPr>
      </w:pPr>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ListParagraph"/>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ListParagraph"/>
        <w:ind w:left="0" w:firstLine="567"/>
        <w:rPr>
          <w:rFonts w:ascii="Times New Roman" w:hAnsi="Times New Roman"/>
          <w:sz w:val="28"/>
          <w:szCs w:val="28"/>
        </w:rPr>
      </w:pPr>
      <w:r>
        <w:rPr>
          <w:rFonts w:ascii="Times New Roman" w:hAnsi="Times New Roman"/>
          <w:sz w:val="28"/>
          <w:szCs w:val="28"/>
        </w:rPr>
      </w:r>
    </w:p>
    <w:p>
      <w:pPr>
        <w:pStyle w:val="ListParagraph"/>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4"/>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В течение отчетного периода на счета служащего (работника) поступило 300 тыс. руб., а на счета его супруги – 500 тыс. руб.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10"/>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графа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в отношении служащего (работника) не заполняется;</w:t>
            </w:r>
          </w:p>
          <w:p>
            <w:pPr>
              <w:pStyle w:val="ListParagraph"/>
              <w:widowControl/>
              <w:numPr>
                <w:ilvl w:val="0"/>
                <w:numId w:val="10"/>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графа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в отношении его супруги также не заполняется. </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три счета.</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500 тыс. руб. Впоследствии </w:t>
              <w:br/>
              <w:t xml:space="preserve">со счета "А" на счета "Б" и "В" переведены денежные средства: 300 тыс. руб. </w:t>
              <w:br/>
              <w:t>и 100 тыс. руб. соответственно.</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8"/>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900 тыс. руб.;</w:t>
            </w:r>
          </w:p>
          <w:p>
            <w:pPr>
              <w:pStyle w:val="ListParagraph"/>
              <w:widowControl/>
              <w:numPr>
                <w:ilvl w:val="0"/>
                <w:numId w:val="8"/>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500 тыс. руб.</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Таким образом, для целей определения необходимости заполнения графы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необходимо сравнивать совокупный доход с 500 тыс. руб.</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два счета.</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400 тыс. руб.; на счет "Б" – </w:t>
              <w:br/>
              <w:t>300 тыс. руб.</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Сначала со счета "А" на счет "Б" переведены 200 тыс. руб., потом со счета "Б" </w:t>
              <w:br/>
              <w:t>на счет "А" – 500 тыс. руб.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9"/>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1400 тыс. руб.;</w:t>
            </w:r>
          </w:p>
          <w:p>
            <w:pPr>
              <w:pStyle w:val="ListParagraph"/>
              <w:widowControl/>
              <w:numPr>
                <w:ilvl w:val="0"/>
                <w:numId w:val="9"/>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700 тыс. руб.</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Таким образом, для целей определения необходимости заполнения графы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необходимо сравнивать совокупный доход с 700 тыс. руб.</w:t>
            </w:r>
          </w:p>
        </w:tc>
      </w:tr>
      <w:tr>
        <w:trPr/>
        <w:tc>
          <w:tcPr>
            <w:tcW w:w="10195" w:type="dxa"/>
            <w:tcBorders/>
            <w:shd w:color="auto" w:fill="FFFFFF" w:themeFill="background1" w:val="clear"/>
          </w:tcPr>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(работника)открыто два счета.</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500 тыс. руб. Впоследствии </w:t>
              <w:br/>
              <w:t>со счета "А" в банкомате сняли 500 тыс. руб. и зачислили их также с помощью банкомата на счет "Б".</w:t>
            </w:r>
          </w:p>
          <w:p>
            <w:pPr>
              <w:pStyle w:val="Normal"/>
              <w:widowControl/>
              <w:tabs>
                <w:tab w:val="clear" w:pos="709"/>
                <w:tab w:val="left" w:pos="454" w:leader="none"/>
                <w:tab w:val="left" w:pos="9390" w:leader="none"/>
              </w:tabs>
              <w:spacing w:before="0" w:after="0"/>
              <w:ind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numPr>
                <w:ilvl w:val="0"/>
                <w:numId w:val="11"/>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1000 тыс. руб.;</w:t>
            </w:r>
          </w:p>
          <w:p>
            <w:pPr>
              <w:pStyle w:val="ListParagraph"/>
              <w:widowControl/>
              <w:numPr>
                <w:ilvl w:val="0"/>
                <w:numId w:val="11"/>
              </w:numPr>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1000 тыс. руб.</w:t>
            </w:r>
          </w:p>
          <w:p>
            <w:pPr>
              <w:pStyle w:val="ListParagraph"/>
              <w:widowControl/>
              <w:tabs>
                <w:tab w:val="clear" w:pos="709"/>
                <w:tab w:val="left" w:pos="454" w:leader="none"/>
                <w:tab w:val="left" w:pos="9390" w:leader="none"/>
              </w:tabs>
              <w:spacing w:before="0" w:after="0"/>
              <w:ind w:lef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Таким образом, для целей определения необходимости заполнения графы </w:t>
            </w:r>
            <w:r>
              <w:rPr>
                <w:rFonts w:eastAsia="Calibri" w:cs="Times New Roman" w:ascii="Times New Roman" w:hAnsi="Times New Roman"/>
                <w:b/>
                <w:kern w:val="0"/>
                <w:sz w:val="28"/>
                <w:lang w:val="ru-RU" w:bidi="ar-SA"/>
              </w:rPr>
              <w:t>"Сумма поступивших на счет денежных средств (руб.)"</w:t>
            </w:r>
            <w:r>
              <w:rPr>
                <w:rFonts w:eastAsia="Calibri" w:cs="Times New Roman" w:ascii="Times New Roman" w:hAnsi="Times New Roman"/>
                <w:iCs/>
                <w:kern w:val="0"/>
                <w:sz w:val="28"/>
                <w:szCs w:val="28"/>
                <w:lang w:val="ru-RU" w:bidi="ar-SA"/>
              </w:rPr>
              <w:t xml:space="preserve"> раздела 4 справки необходимо сравнивать совокупный доход с 1000 тыс. руб.</w:t>
            </w:r>
          </w:p>
        </w:tc>
      </w:tr>
    </w:tbl>
    <w:p>
      <w:pPr>
        <w:pStyle w:val="ListParagraph"/>
        <w:ind w:left="0" w:firstLine="567"/>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pPr>
        <w:pStyle w:val="Normal"/>
        <w:ind w:firstLine="567"/>
        <w:rPr>
          <w:rFonts w:ascii="Times New Roman" w:hAnsi="Times New Roman"/>
          <w:b/>
          <w:sz w:val="28"/>
          <w:szCs w:val="28"/>
        </w:rPr>
      </w:pPr>
      <w:r>
        <w:rPr>
          <w:rFonts w:ascii="Times New Roman" w:hAnsi="Times New Roman"/>
          <w:b/>
          <w:sz w:val="28"/>
          <w:szCs w:val="28"/>
        </w:rPr>
        <w:t>Совместный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В данном случае в каждой подаваемой справке представляется идентичная информация о таком счете.</w:t>
      </w:r>
    </w:p>
    <w:p>
      <w:pPr>
        <w:pStyle w:val="ListParagraph"/>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 электронные средства платежа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7):</w:t>
      </w:r>
    </w:p>
    <w:p>
      <w:pPr>
        <w:pStyle w:val="ListParagraph"/>
        <w:ind w:left="567" w:hanging="0"/>
        <w:rPr>
          <w:rFonts w:ascii="Times New Roman" w:hAnsi="Times New Roman"/>
          <w:sz w:val="28"/>
          <w:szCs w:val="28"/>
        </w:rPr>
      </w:pPr>
      <w:r>
        <w:rPr>
          <w:rFonts w:ascii="Times New Roman" w:hAnsi="Times New Roman"/>
          <w:sz w:val="28"/>
          <w:szCs w:val="28"/>
        </w:rPr>
      </w:r>
    </w:p>
    <w:tbl>
      <w:tblPr>
        <w:tblStyle w:val="af4"/>
        <w:tblW w:w="1009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126"/>
        <w:gridCol w:w="7966"/>
      </w:tblGrid>
      <w:tr>
        <w:trPr/>
        <w:tc>
          <w:tcPr>
            <w:tcW w:w="2126" w:type="dxa"/>
            <w:tcBorders/>
          </w:tcPr>
          <w:p>
            <w:pPr>
              <w:pStyle w:val="ListParagraph"/>
              <w:widowControl/>
              <w:spacing w:before="0" w:after="0"/>
              <w:ind w:lef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Расчетная (дебетовая)</w:t>
            </w:r>
          </w:p>
        </w:tc>
        <w:tc>
          <w:tcPr>
            <w:tcW w:w="7966" w:type="dxa"/>
            <w:tcBorders/>
          </w:tcPr>
          <w:p>
            <w:pPr>
              <w:pStyle w:val="ListParagraph"/>
              <w:widowControl/>
              <w:spacing w:before="0" w:after="0"/>
              <w:ind w:lef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tc>
          <w:tcPr>
            <w:tcW w:w="2126" w:type="dxa"/>
            <w:tcBorders/>
          </w:tcPr>
          <w:p>
            <w:pPr>
              <w:pStyle w:val="ListParagraph"/>
              <w:widowControl/>
              <w:spacing w:before="0" w:after="0"/>
              <w:ind w:lef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Кредитная</w:t>
            </w:r>
          </w:p>
        </w:tc>
        <w:tc>
          <w:tcPr>
            <w:tcW w:w="7966" w:type="dxa"/>
            <w:tcBorders/>
          </w:tcPr>
          <w:p>
            <w:pPr>
              <w:pStyle w:val="ListParagraph"/>
              <w:widowControl/>
              <w:spacing w:before="0" w:after="0"/>
              <w:ind w:lef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ListParagraph"/>
        <w:ind w:left="567" w:hanging="0"/>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pPr>
        <w:pStyle w:val="ListParagraph"/>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pPr>
        <w:pStyle w:val="ListParagraph"/>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br/>
        <w:t xml:space="preserve">может быть получена в ФНС России. Информацией о ранее открытых счетах </w:t>
        <w:br/>
        <w:t xml:space="preserve">в банках (если такие счета не закрывались либо по ним не было изменений) </w:t>
        <w:br/>
        <w:t xml:space="preserve">налоговые органы не располагают. Порядок обращения за данными </w:t>
        <w:br/>
        <w:t xml:space="preserve">сведениями изложен на официальном сайте ФНС России по ссылке: </w:t>
      </w:r>
      <w:hyperlink r:id="rId30" w:tgtFrame="https://www.nalog.ru/rn77/related_activities/accounting/bank_account/">
        <w:r>
          <w:rPr>
            <w:rStyle w:val="-"/>
            <w:rFonts w:ascii="Times New Roman" w:hAnsi="Times New Roman"/>
            <w:sz w:val="28"/>
            <w:szCs w:val="28"/>
          </w:rPr>
          <w:t>https://www.nalog.ru/rn77/related_activities/accounting/bank_account/</w:t>
        </w:r>
      </w:hyperlink>
      <w:r>
        <w:rPr>
          <w:rFonts w:ascii="Times New Roman" w:hAnsi="Times New Roman"/>
          <w:sz w:val="28"/>
          <w:szCs w:val="28"/>
        </w:rPr>
        <w:t>.</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pPr>
        <w:pStyle w:val="ListParagraph"/>
        <w:numPr>
          <w:ilvl w:val="1"/>
          <w:numId w:val="1"/>
        </w:numPr>
        <w:ind w:left="0" w:firstLine="567"/>
        <w:rPr>
          <w:rFonts w:ascii="Times New Roman" w:hAnsi="Times New Roman"/>
          <w:sz w:val="28"/>
          <w:szCs w:val="28"/>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pPr>
        <w:pStyle w:val="ListParagraph"/>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pPr>
        <w:pStyle w:val="ListParagraph"/>
        <w:numPr>
          <w:ilvl w:val="1"/>
          <w:numId w:val="1"/>
        </w:numPr>
        <w:ind w:left="0" w:firstLine="709"/>
        <w:rPr>
          <w:rFonts w:ascii="Times New Roman" w:hAnsi="Times New Roman"/>
          <w:sz w:val="28"/>
          <w:szCs w:val="28"/>
        </w:rPr>
      </w:pPr>
      <w:r>
        <w:rPr>
          <w:rFonts w:ascii="Times New Roman" w:hAnsi="Times New Roman"/>
          <w:sz w:val="28"/>
          <w:szCs w:val="28"/>
        </w:rPr>
        <w:t>сведения о заключении договора долгосрочных сбережений в соответствии с Федеральным законом от 7 мая 1998 г. № 75-ФЗ "О негосударственных пенсионных фондах";</w:t>
      </w:r>
    </w:p>
    <w:p>
      <w:pPr>
        <w:pStyle w:val="ListParagraph"/>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"ЮMoney", карта O</w:t>
      </w:r>
      <w:r>
        <w:rPr>
          <w:rFonts w:ascii="Times New Roman" w:hAnsi="Times New Roman"/>
          <w:sz w:val="28"/>
          <w:szCs w:val="28"/>
          <w:lang w:val="en-US"/>
        </w:rPr>
        <w:t>ZON</w:t>
      </w:r>
      <w:r>
        <w:rPr>
          <w:rFonts w:ascii="Times New Roman" w:hAnsi="Times New Roman"/>
          <w:sz w:val="28"/>
          <w:szCs w:val="28"/>
        </w:rPr>
        <w:t xml:space="preserve">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Normal"/>
        <w:ind w:firstLine="567"/>
        <w:rPr>
          <w:rFonts w:ascii="Times New Roman" w:hAnsi="Times New Roman"/>
          <w:sz w:val="28"/>
          <w:szCs w:val="28"/>
        </w:rPr>
      </w:pPr>
      <w:r>
        <w:rPr>
          <w:rFonts w:ascii="Times New Roman" w:hAnsi="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Normal"/>
        <w:ind w:firstLine="567"/>
        <w:rPr>
          <w:rFonts w:ascii="Times New Roman" w:hAnsi="Times New Roman"/>
          <w:sz w:val="28"/>
          <w:szCs w:val="28"/>
        </w:rPr>
      </w:pPr>
      <w:r>
        <w:rPr>
          <w:rFonts w:ascii="Times New Roman" w:hAnsi="Times New Roman"/>
          <w:sz w:val="28"/>
          <w:szCs w:val="28"/>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pPr>
        <w:pStyle w:val="ListParagraph"/>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pPr>
        <w:pStyle w:val="ListParagraph"/>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pPr>
        <w:pStyle w:val="ListParagraph"/>
        <w:widowControl w:val="false"/>
        <w:ind w:left="0" w:firstLine="567"/>
        <w:rPr>
          <w:rFonts w:ascii="Times New Roman" w:hAnsi="Times New Roman"/>
          <w:sz w:val="28"/>
          <w:szCs w:val="28"/>
        </w:rPr>
      </w:pPr>
      <w:r>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pPr>
        <w:pStyle w:val="ListParagraph"/>
        <w:widowControl w:val="false"/>
        <w:ind w:left="0" w:firstLine="567"/>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5. СВЕДЕНИЯ О ЦЕННЫХ БУМАГАХ</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ListParagraph"/>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ListParagraph"/>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pStyle w:val="Normal"/>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Normal"/>
        <w:tabs>
          <w:tab w:val="clear" w:pos="709"/>
          <w:tab w:val="left" w:pos="426" w:leader="none"/>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pPr>
        <w:pStyle w:val="ListParagraph"/>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ListParagraph"/>
        <w:numPr>
          <w:ilvl w:val="0"/>
          <w:numId w:val="1"/>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ListParagraph"/>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pPr>
        <w:pStyle w:val="ListParagraph"/>
        <w:ind w:left="567" w:hanging="0"/>
        <w:rPr>
          <w:rFonts w:ascii="Times New Roman" w:hAnsi="Times New Roman"/>
          <w:b/>
          <w:sz w:val="28"/>
          <w:szCs w:val="28"/>
        </w:rPr>
      </w:pPr>
      <w:r>
        <w:rPr>
          <w:rFonts w:ascii="Times New Roman" w:hAnsi="Times New Roman"/>
          <w:b/>
          <w:sz w:val="28"/>
          <w:szCs w:val="28"/>
        </w:rPr>
        <w:t>Подраздел 5.2. Иные ценные бумаги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ListParagraph"/>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ListParagraph"/>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numPr>
          <w:ilvl w:val="0"/>
          <w:numId w:val="1"/>
        </w:numPr>
        <w:tabs>
          <w:tab w:val="clear" w:pos="709"/>
          <w:tab w:val="left" w:pos="1418" w:leader="none"/>
        </w:tabs>
        <w:ind w:left="0" w:firstLine="567"/>
        <w:rPr>
          <w:rFonts w:ascii="Times New Roman" w:hAnsi="Times New Roman"/>
          <w:sz w:val="28"/>
          <w:szCs w:val="28"/>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ListParagraph"/>
        <w:tabs>
          <w:tab w:val="clear" w:pos="709"/>
          <w:tab w:val="left" w:pos="1418" w:leader="none"/>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1">
        <w:r>
          <w:rPr>
            <w:rStyle w:val="-"/>
            <w:rFonts w:ascii="Times New Roman" w:hAnsi="Times New Roman"/>
            <w:sz w:val="28"/>
            <w:szCs w:val="28"/>
          </w:rPr>
          <w:t>https://mintrud.gov.ru/ministry/programms/anticorruption/9/21</w:t>
        </w:r>
      </w:hyperlink>
      <w:r>
        <w:rPr>
          <w:rFonts w:ascii="Times New Roman" w:hAnsi="Times New Roman"/>
          <w:sz w:val="28"/>
          <w:szCs w:val="28"/>
        </w:rPr>
        <w:t>).</w:t>
      </w:r>
    </w:p>
    <w:p>
      <w:pPr>
        <w:pStyle w:val="ListParagraph"/>
        <w:tabs>
          <w:tab w:val="clear" w:pos="709"/>
          <w:tab w:val="left" w:pos="1418" w:leader="none"/>
        </w:tabs>
        <w:ind w:left="0" w:firstLine="567"/>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pStyle w:val="Normal"/>
        <w:ind w:hanging="0"/>
        <w:jc w:val="center"/>
        <w:rPr>
          <w:rFonts w:ascii="Times New Roman" w:hAnsi="Times New Roman"/>
          <w:b/>
          <w:sz w:val="28"/>
          <w:szCs w:val="28"/>
        </w:rPr>
      </w:pPr>
      <w:r>
        <w:rPr>
          <w:rFonts w:ascii="Times New Roman" w:hAnsi="Times New Roman"/>
          <w:b/>
          <w:sz w:val="28"/>
          <w:szCs w:val="28"/>
        </w:rPr>
        <w:t>ИМУЩЕСТВЕННОГО ХАРАКТЕРА</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находящиеся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ListParagraph"/>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ListParagraph"/>
        <w:numPr>
          <w:ilvl w:val="0"/>
          <w:numId w:val="7"/>
        </w:numPr>
        <w:tabs>
          <w:tab w:val="clear" w:pos="709"/>
          <w:tab w:val="left" w:pos="993" w:leader="none"/>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ListParagraph"/>
        <w:numPr>
          <w:ilvl w:val="0"/>
          <w:numId w:val="7"/>
        </w:numPr>
        <w:tabs>
          <w:tab w:val="clear" w:pos="709"/>
          <w:tab w:val="left" w:pos="993" w:leader="none"/>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ListParagraph"/>
        <w:ind w:left="567" w:hanging="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pPr>
        <w:pStyle w:val="ListParagraph"/>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pPr>
        <w:pStyle w:val="Normal"/>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Normal"/>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Normal"/>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pPr>
        <w:pStyle w:val="Normal"/>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pPr>
        <w:pStyle w:val="Normal"/>
        <w:ind w:firstLine="567"/>
        <w:rPr>
          <w:rFonts w:ascii="Times New Roman" w:hAnsi="Times New Roman"/>
          <w:sz w:val="28"/>
          <w:szCs w:val="28"/>
        </w:rPr>
      </w:pPr>
      <w:r>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Normal"/>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pPr>
        <w:pStyle w:val="Normal"/>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pPr>
        <w:pStyle w:val="ListParagraph"/>
        <w:widowControl w:val="false"/>
        <w:numPr>
          <w:ilvl w:val="0"/>
          <w:numId w:val="1"/>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ListParagraph"/>
        <w:numPr>
          <w:ilvl w:val="0"/>
          <w:numId w:val="1"/>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ListParagraph"/>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ilvl w:val="0"/>
          <w:numId w:val="1"/>
        </w:numPr>
        <w:shd w:val="clear" w:color="auto" w:fill="auto"/>
        <w:spacing w:lineRule="auto" w:line="240" w:before="0" w:after="0"/>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 </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Аналогично в отношении несовершеннолетних детей.</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ListParagraph"/>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widowControl w:val="false"/>
        <w:numPr>
          <w:ilvl w:val="0"/>
          <w:numId w:val="1"/>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Например, </w:t>
      </w:r>
    </w:p>
    <w:p>
      <w:pPr>
        <w:pStyle w:val="Normal"/>
        <w:widowControl w:val="false"/>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pStyle w:val="Normal"/>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ListParagraph"/>
        <w:widowControl w:val="false"/>
        <w:numPr>
          <w:ilvl w:val="0"/>
          <w:numId w:val="1"/>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widowControl w:val="false"/>
        <w:numPr>
          <w:ilvl w:val="0"/>
          <w:numId w:val="1"/>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pPr>
        <w:pStyle w:val="Normal"/>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Normal"/>
        <w:ind w:firstLine="567"/>
        <w:rPr>
          <w:rFonts w:ascii="Times New Roman" w:hAnsi="Times New Roman"/>
          <w:sz w:val="28"/>
          <w:szCs w:val="28"/>
        </w:rPr>
      </w:pPr>
      <w:r>
        <w:rPr>
          <w:rFonts w:ascii="Times New Roman" w:hAnsi="Times New Roman"/>
          <w:sz w:val="28"/>
          <w:szCs w:val="28"/>
        </w:rPr>
        <w:t>2) договор финансовой аренды (лизинг);</w:t>
      </w:r>
    </w:p>
    <w:p>
      <w:pPr>
        <w:pStyle w:val="Normal"/>
        <w:ind w:firstLine="567"/>
        <w:rPr>
          <w:rFonts w:ascii="Times New Roman" w:hAnsi="Times New Roman"/>
          <w:sz w:val="28"/>
          <w:szCs w:val="28"/>
        </w:rPr>
      </w:pPr>
      <w:r>
        <w:rPr>
          <w:rFonts w:ascii="Times New Roman" w:hAnsi="Times New Roman"/>
          <w:sz w:val="28"/>
          <w:szCs w:val="28"/>
        </w:rPr>
        <w:t>3) договор займа;</w:t>
      </w:r>
    </w:p>
    <w:p>
      <w:pPr>
        <w:pStyle w:val="ListParagraph"/>
        <w:ind w:left="0" w:firstLine="567"/>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pPr>
        <w:pStyle w:val="ListParagraph"/>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pPr>
        <w:pStyle w:val="Normal"/>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pPr>
        <w:pStyle w:val="Normal"/>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Normal"/>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pPr>
        <w:pStyle w:val="Normal"/>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pStyle w:val="Normal"/>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pPr>
        <w:pStyle w:val="Normal"/>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pPr>
        <w:pStyle w:val="Normal"/>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Normal"/>
        <w:ind w:firstLine="567"/>
        <w:rPr>
          <w:rFonts w:ascii="Times New Roman" w:hAnsi="Times New Roman"/>
          <w:sz w:val="28"/>
          <w:szCs w:val="28"/>
        </w:rPr>
      </w:pPr>
      <w:r>
        <w:rPr>
          <w:rFonts w:ascii="Times New Roman" w:hAnsi="Times New Roman"/>
          <w:sz w:val="28"/>
          <w:szCs w:val="28"/>
        </w:rPr>
        <w:t>14) фьючерсный договор;</w:t>
      </w:r>
    </w:p>
    <w:p>
      <w:pPr>
        <w:pStyle w:val="Normal"/>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pPr>
        <w:pStyle w:val="ListParagraph"/>
        <w:widowControl w:val="false"/>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Normal"/>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Normal"/>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ListParagraph"/>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созаемщиков. </w:t>
      </w:r>
    </w:p>
    <w:p>
      <w:pPr>
        <w:pStyle w:val="Normal"/>
        <w:ind w:firstLine="567"/>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pPr>
        <w:pStyle w:val="Normal"/>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br/>
        <w:t xml:space="preserve">от страховщика в рамках Указания Банка России № 5798-У. </w:t>
      </w:r>
    </w:p>
    <w:p>
      <w:pPr>
        <w:pStyle w:val="Normal"/>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Normal"/>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pPr>
        <w:pStyle w:val="Normal"/>
        <w:ind w:firstLine="567"/>
        <w:rPr>
          <w:rFonts w:ascii="Times New Roman" w:hAnsi="Times New Roman"/>
          <w:sz w:val="28"/>
          <w:szCs w:val="28"/>
        </w:rPr>
      </w:pPr>
      <w:r>
        <w:rPr>
          <w:rFonts w:ascii="Times New Roman" w:hAnsi="Times New Roman"/>
          <w:sz w:val="28"/>
          <w:szCs w:val="28"/>
        </w:rPr>
        <w:t xml:space="preserve">Не относятся к обязательствам в соответствии с Законом Российской 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 </w:t>
      </w:r>
    </w:p>
    <w:p>
      <w:pPr>
        <w:pStyle w:val="Normal"/>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pStyle w:val="Normal"/>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w:t>
      </w:r>
    </w:p>
    <w:p>
      <w:pPr>
        <w:pStyle w:val="Normal"/>
        <w:ind w:hanging="0"/>
        <w:jc w:val="center"/>
        <w:rPr>
          <w:rFonts w:ascii="Times New Roman" w:hAnsi="Times New Roman"/>
          <w:b/>
          <w:sz w:val="28"/>
          <w:szCs w:val="28"/>
        </w:rPr>
      </w:pPr>
      <w:r>
        <w:rPr>
          <w:rFonts w:ascii="Times New Roman" w:hAnsi="Times New Roman"/>
          <w:b/>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ListParagraph"/>
        <w:widowControl w:val="false"/>
        <w:ind w:left="0" w:firstLine="567"/>
        <w:rPr>
          <w:rFonts w:ascii="Times New Roman" w:hAnsi="Times New Roman"/>
          <w:sz w:val="28"/>
          <w:szCs w:val="28"/>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109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117</w:t>
      </w:r>
      <w:r>
        <w:rPr>
          <w:rFonts w:ascii="Times New Roman" w:hAnsi="Times New Roman"/>
          <w:sz w:val="28"/>
        </w:rPr>
        <w:t xml:space="preserve"> и </w:t>
      </w:r>
      <w:r>
        <w:rPr>
          <w:rFonts w:ascii="Times New Roman" w:hAnsi="Times New Roman"/>
          <w:sz w:val="28"/>
          <w:szCs w:val="28"/>
        </w:rPr>
        <w:t>118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119</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eastAsia="Times New Roman" w:ascii="Times New Roman" w:hAnsi="Times New Roman"/>
          <w:sz w:val="28"/>
          <w:szCs w:val="28"/>
          <w:lang w:eastAsia="ru-RU"/>
        </w:rPr>
        <w:t xml:space="preserve">(с учетом положений </w:t>
      </w:r>
      <w:r>
        <w:rPr>
          <w:rFonts w:ascii="Times New Roman" w:hAnsi="Times New Roman"/>
          <w:sz w:val="28"/>
        </w:rPr>
        <w:t xml:space="preserve">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eastAsia="Times New Roman" w:ascii="Times New Roman" w:hAnsi="Times New Roman"/>
          <w:sz w:val="28"/>
          <w:szCs w:val="28"/>
          <w:lang w:eastAsia="ru-RU"/>
        </w:rPr>
        <w:t>)</w:t>
      </w:r>
      <w:r>
        <w:rPr>
          <w:rFonts w:ascii="Times New Roman" w:hAnsi="Times New Roman"/>
          <w:sz w:val="28"/>
          <w:szCs w:val="28"/>
        </w:rPr>
        <w:t xml:space="preserve">.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178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 в соответствии с </w:t>
      </w:r>
      <w:r>
        <w:rPr>
          <w:rFonts w:ascii="Times New Roman" w:hAnsi="Times New Roman"/>
          <w:sz w:val="28"/>
        </w:rPr>
        <w:t xml:space="preserve">пунктом </w:t>
      </w:r>
      <w:r>
        <w:rPr>
          <w:rFonts w:ascii="Times New Roman" w:hAnsi="Times New Roman"/>
          <w:sz w:val="28"/>
          <w:szCs w:val="28"/>
        </w:rPr>
        <w:t>179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 </w:t>
      </w:r>
      <w:r>
        <w:rPr>
          <w:rFonts w:ascii="Times New Roman" w:hAnsi="Times New Roman"/>
          <w:sz w:val="28"/>
          <w:szCs w:val="28"/>
        </w:rPr>
        <w:t>180</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доли участия в соответствии с </w:t>
      </w:r>
      <w:r>
        <w:rPr>
          <w:rFonts w:ascii="Times New Roman" w:hAnsi="Times New Roman"/>
          <w:sz w:val="28"/>
        </w:rPr>
        <w:t xml:space="preserve">пунктом </w:t>
      </w:r>
      <w:r>
        <w:rPr>
          <w:rFonts w:ascii="Times New Roman" w:hAnsi="Times New Roman"/>
          <w:sz w:val="28"/>
          <w:szCs w:val="28"/>
        </w:rPr>
        <w:t>181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13"/>
          <w:rFonts w:cs="Times New Roman"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"Основание отчуждения имущества</w:t>
      </w:r>
      <w:r>
        <w:rPr>
          <w:rStyle w:val="Style13"/>
          <w:rFonts w:cs="Times New Roman" w:ascii="Times New Roman" w:hAnsi="Times New Roman"/>
          <w:b/>
          <w:sz w:val="28"/>
          <w:szCs w:val="28"/>
          <w:shd w:fill="auto" w:val="clear"/>
        </w:rPr>
        <w:t xml:space="preserve"> (права)"</w:t>
      </w:r>
      <w:r>
        <w:rPr>
          <w:rStyle w:val="Style13"/>
          <w:rFonts w:cs="Times New Roman" w:ascii="Times New Roman" w:hAnsi="Times New Roman"/>
          <w:sz w:val="28"/>
          <w:szCs w:val="28"/>
          <w:shd w:fill="auto" w:val="clear"/>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Style13"/>
          <w:rFonts w:cs="Times New Roman" w:ascii="Times New Roman" w:hAnsi="Times New Roman"/>
          <w:sz w:val="28"/>
          <w:szCs w:val="28"/>
          <w:shd w:fill="auto" w:val="clear"/>
        </w:rPr>
        <w:t>Для цифровых финансовых активов, цифровых прав и цифровой валюты также указывается дата их отчуждения.</w:t>
      </w:r>
    </w:p>
    <w:p>
      <w:pPr>
        <w:pStyle w:val="ListParagraph"/>
        <w:widowControl w:val="false"/>
        <w:ind w:left="567" w:hanging="0"/>
        <w:rPr>
          <w:rStyle w:val="Style13"/>
          <w:rFonts w:ascii="Times New Roman" w:hAnsi="Times New Roman" w:cs="Times New Roman"/>
          <w:b/>
          <w:sz w:val="28"/>
          <w:szCs w:val="28"/>
          <w:shd w:fill="auto" w:val="clear"/>
        </w:rPr>
      </w:pPr>
      <w:r>
        <w:rPr>
          <w:rFonts w:cs="Times New Roman" w:ascii="Times New Roman" w:hAnsi="Times New Roman"/>
          <w:b/>
          <w:sz w:val="28"/>
          <w:szCs w:val="28"/>
          <w:shd w:fill="auto" w:val="clear"/>
        </w:rPr>
      </w:r>
    </w:p>
    <w:p>
      <w:pPr>
        <w:pStyle w:val="ListParagraph"/>
        <w:ind w:left="0" w:firstLine="709"/>
        <w:jc w:val="center"/>
        <w:rPr>
          <w:rStyle w:val="Style13"/>
          <w:rFonts w:ascii="Times New Roman" w:hAnsi="Times New Roman" w:eastAsia="Times New Roman" w:cs="Times New Roman"/>
          <w:sz w:val="20"/>
          <w:szCs w:val="20"/>
          <w:shd w:fill="auto" w:val="clear"/>
        </w:rPr>
      </w:pPr>
      <w:r>
        <w:rPr/>
      </w:r>
    </w:p>
    <w:sectPr>
      <w:headerReference w:type="default" r:id="rId32"/>
      <w:type w:val="nextPage"/>
      <w:pgSz w:w="11906" w:h="16838"/>
      <w:pgMar w:left="1134" w:right="567" w:gutter="0" w:header="454"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Segoe UI Symbo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jc w:val="center"/>
      <w:rPr>
        <w:rFonts w:ascii="Times New Roman" w:hAnsi="Times New Roman" w:eastAsia="Times New Roman"/>
        <w:sz w:val="28"/>
      </w:rPr>
    </w:pPr>
    <w:r>
      <w:rPr>
        <w:rFonts w:eastAsia="Times New Roman" w:ascii="Times New Roman" w:hAnsi="Times New Roman"/>
        <w:sz w:val="28"/>
      </w:rPr>
      <w:fldChar w:fldCharType="begin"/>
    </w:r>
    <w:r>
      <w:rPr>
        <w:sz w:val="28"/>
        <w:rFonts w:eastAsia="Times New Roman" w:ascii="Times New Roman" w:hAnsi="Times New Roman"/>
      </w:rPr>
      <w:instrText xml:space="preserve"> PAGE </w:instrText>
    </w:r>
    <w:r>
      <w:rPr>
        <w:sz w:val="28"/>
        <w:rFonts w:eastAsia="Times New Roman" w:ascii="Times New Roman" w:hAnsi="Times New Roman"/>
      </w:rPr>
      <w:fldChar w:fldCharType="separate"/>
    </w:r>
    <w:r>
      <w:rPr>
        <w:sz w:val="28"/>
        <w:rFonts w:eastAsia="Times New Roman" w:ascii="Times New Roman" w:hAnsi="Times New Roman"/>
      </w:rPr>
      <w:t>71</w:t>
    </w:r>
    <w:r>
      <w:rPr>
        <w:sz w:val="28"/>
        <w:rFonts w:eastAsia="Times New Roman"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center"/>
      <w:pPr>
        <w:tabs>
          <w:tab w:val="num" w:pos="0"/>
        </w:tabs>
        <w:ind w:left="2422" w:hanging="720"/>
      </w:pPr>
      <w:rPr>
        <w:sz w:val="28"/>
        <w:b w:val="false"/>
        <w:szCs w:val="28"/>
        <w:color w:val="auto"/>
      </w:rPr>
    </w:lvl>
    <w:lvl w:ilvl="1">
      <w:start w:val="1"/>
      <w:numFmt w:val="decimal"/>
      <w:lvlText w:val="%2)"/>
      <w:lvlJc w:val="left"/>
      <w:pPr>
        <w:tabs>
          <w:tab w:val="num" w:pos="0"/>
        </w:tabs>
        <w:ind w:left="2858" w:hanging="360"/>
      </w:pPr>
      <w:rPr/>
    </w:lvl>
    <w:lvl w:ilvl="2">
      <w:start w:val="1"/>
      <w:numFmt w:val="lowerRoman"/>
      <w:lvlText w:val="%3."/>
      <w:lvlJc w:val="right"/>
      <w:pPr>
        <w:tabs>
          <w:tab w:val="num" w:pos="0"/>
        </w:tabs>
        <w:ind w:left="3578" w:hanging="180"/>
      </w:pPr>
      <w:rPr/>
    </w:lvl>
    <w:lvl w:ilvl="3">
      <w:start w:val="1"/>
      <w:numFmt w:val="decimal"/>
      <w:lvlText w:val="%4."/>
      <w:lvlJc w:val="left"/>
      <w:pPr>
        <w:tabs>
          <w:tab w:val="num" w:pos="0"/>
        </w:tabs>
        <w:ind w:left="4298" w:hanging="360"/>
      </w:pPr>
      <w:rPr/>
    </w:lvl>
    <w:lvl w:ilvl="4">
      <w:start w:val="1"/>
      <w:numFmt w:val="lowerLetter"/>
      <w:lvlText w:val="%5."/>
      <w:lvlJc w:val="left"/>
      <w:pPr>
        <w:tabs>
          <w:tab w:val="num" w:pos="0"/>
        </w:tabs>
        <w:ind w:left="5018" w:hanging="360"/>
      </w:pPr>
      <w:rPr/>
    </w:lvl>
    <w:lvl w:ilvl="5">
      <w:start w:val="1"/>
      <w:numFmt w:val="lowerRoman"/>
      <w:lvlText w:val="%6."/>
      <w:lvlJc w:val="right"/>
      <w:pPr>
        <w:tabs>
          <w:tab w:val="num" w:pos="0"/>
        </w:tabs>
        <w:ind w:left="5738" w:hanging="180"/>
      </w:pPr>
      <w:rPr/>
    </w:lvl>
    <w:lvl w:ilvl="6">
      <w:start w:val="1"/>
      <w:numFmt w:val="decimal"/>
      <w:lvlText w:val="%7."/>
      <w:lvlJc w:val="left"/>
      <w:pPr>
        <w:tabs>
          <w:tab w:val="num" w:pos="0"/>
        </w:tabs>
        <w:ind w:left="6458" w:hanging="360"/>
      </w:pPr>
      <w:rPr/>
    </w:lvl>
    <w:lvl w:ilvl="7">
      <w:start w:val="1"/>
      <w:numFmt w:val="lowerLetter"/>
      <w:lvlText w:val="%8."/>
      <w:lvlJc w:val="left"/>
      <w:pPr>
        <w:tabs>
          <w:tab w:val="num" w:pos="0"/>
        </w:tabs>
        <w:ind w:left="7178" w:hanging="360"/>
      </w:pPr>
      <w:rPr/>
    </w:lvl>
    <w:lvl w:ilvl="8">
      <w:start w:val="1"/>
      <w:numFmt w:val="lowerRoman"/>
      <w:lvlText w:val="%9."/>
      <w:lvlJc w:val="right"/>
      <w:pPr>
        <w:tabs>
          <w:tab w:val="num" w:pos="0"/>
        </w:tabs>
        <w:ind w:left="7898" w:hanging="180"/>
      </w:pPr>
      <w:rPr/>
    </w:lvl>
  </w:abstractNum>
  <w:abstractNum w:abstractNumId="2">
    <w:lvl w:ilvl="0">
      <w:start w:val="1"/>
      <w:numFmt w:val="decimal"/>
      <w:lvlText w:val="%1)"/>
      <w:lvlJc w:val="left"/>
      <w:pPr>
        <w:tabs>
          <w:tab w:val="num" w:pos="0"/>
        </w:tabs>
        <w:ind w:left="1070" w:hanging="360"/>
      </w:pPr>
      <w:rPr>
        <w:sz w:val="28"/>
        <w:b w:val="false"/>
        <w:szCs w:val="28"/>
        <w:rFonts w:ascii="Times New Roman" w:hAnsi="Times New Roman" w:cs="Times New Roman"/>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3">
    <w:lvl w:ilvl="0">
      <w:start w:val="1"/>
      <w:numFmt w:val="decimal"/>
      <w:lvlText w:val="%1)"/>
      <w:lvlJc w:val="left"/>
      <w:pPr>
        <w:tabs>
          <w:tab w:val="num" w:pos="0"/>
        </w:tabs>
        <w:ind w:left="928" w:hanging="360"/>
      </w:pPr>
      <w:rPr/>
    </w:lvl>
    <w:lvl w:ilvl="1">
      <w:start w:val="1"/>
      <w:numFmt w:val="lowerLetter"/>
      <w:lvlText w:val="%2."/>
      <w:lvlJc w:val="left"/>
      <w:pPr>
        <w:tabs>
          <w:tab w:val="num" w:pos="0"/>
        </w:tabs>
        <w:ind w:left="2265" w:hanging="360"/>
      </w:pPr>
      <w:rPr/>
    </w:lvl>
    <w:lvl w:ilvl="2">
      <w:start w:val="1"/>
      <w:numFmt w:val="lowerRoman"/>
      <w:lvlText w:val="%3."/>
      <w:lvlJc w:val="right"/>
      <w:pPr>
        <w:tabs>
          <w:tab w:val="num" w:pos="0"/>
        </w:tabs>
        <w:ind w:left="2985" w:hanging="180"/>
      </w:pPr>
      <w:rPr/>
    </w:lvl>
    <w:lvl w:ilvl="3">
      <w:start w:val="1"/>
      <w:numFmt w:val="decimal"/>
      <w:lvlText w:val="%4."/>
      <w:lvlJc w:val="left"/>
      <w:pPr>
        <w:tabs>
          <w:tab w:val="num" w:pos="0"/>
        </w:tabs>
        <w:ind w:left="3705" w:hanging="360"/>
      </w:pPr>
      <w:rPr/>
    </w:lvl>
    <w:lvl w:ilvl="4">
      <w:start w:val="1"/>
      <w:numFmt w:val="lowerLetter"/>
      <w:lvlText w:val="%5."/>
      <w:lvlJc w:val="left"/>
      <w:pPr>
        <w:tabs>
          <w:tab w:val="num" w:pos="0"/>
        </w:tabs>
        <w:ind w:left="4425" w:hanging="360"/>
      </w:pPr>
      <w:rPr/>
    </w:lvl>
    <w:lvl w:ilvl="5">
      <w:start w:val="1"/>
      <w:numFmt w:val="lowerRoman"/>
      <w:lvlText w:val="%6."/>
      <w:lvlJc w:val="right"/>
      <w:pPr>
        <w:tabs>
          <w:tab w:val="num" w:pos="0"/>
        </w:tabs>
        <w:ind w:left="5145" w:hanging="180"/>
      </w:pPr>
      <w:rPr/>
    </w:lvl>
    <w:lvl w:ilvl="6">
      <w:start w:val="1"/>
      <w:numFmt w:val="decimal"/>
      <w:lvlText w:val="%7."/>
      <w:lvlJc w:val="left"/>
      <w:pPr>
        <w:tabs>
          <w:tab w:val="num" w:pos="0"/>
        </w:tabs>
        <w:ind w:left="5865" w:hanging="360"/>
      </w:pPr>
      <w:rPr/>
    </w:lvl>
    <w:lvl w:ilvl="7">
      <w:start w:val="1"/>
      <w:numFmt w:val="lowerLetter"/>
      <w:lvlText w:val="%8."/>
      <w:lvlJc w:val="left"/>
      <w:pPr>
        <w:tabs>
          <w:tab w:val="num" w:pos="0"/>
        </w:tabs>
        <w:ind w:left="6585" w:hanging="360"/>
      </w:pPr>
      <w:rPr/>
    </w:lvl>
    <w:lvl w:ilvl="8">
      <w:start w:val="1"/>
      <w:numFmt w:val="lowerRoman"/>
      <w:lvlText w:val="%9."/>
      <w:lvlJc w:val="right"/>
      <w:pPr>
        <w:tabs>
          <w:tab w:val="num" w:pos="0"/>
        </w:tabs>
        <w:ind w:left="7305" w:hanging="180"/>
      </w:pPr>
      <w:rPr/>
    </w:lvl>
  </w:abstractNum>
  <w:abstractNum w:abstractNumId="4">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6">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2709"/>
    <w:pPr>
      <w:widowControl/>
      <w:bidi w:val="0"/>
      <w:spacing w:before="0" w:after="0"/>
      <w:ind w:firstLine="709"/>
      <w:jc w:val="both"/>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8" w:customStyle="1">
    <w:name w:val="Текст концевой сноски Знак"/>
    <w:uiPriority w:val="99"/>
    <w:qFormat/>
    <w:rPr>
      <w:sz w:val="20"/>
    </w:rPr>
  </w:style>
  <w:style w:type="character" w:styleId="Style9">
    <w:name w:val="Символ концевой сноски"/>
    <w:basedOn w:val="DefaultParagraphFont"/>
    <w:uiPriority w:val="99"/>
    <w:semiHidden/>
    <w:unhideWhenUsed/>
    <w:qFormat/>
    <w:rPr>
      <w:vertAlign w:val="superscript"/>
    </w:rPr>
  </w:style>
  <w:style w:type="character" w:styleId="Style10">
    <w:name w:val="Endnote Reference"/>
    <w:rPr>
      <w:vertAlign w:val="superscript"/>
    </w:rPr>
  </w:style>
  <w:style w:type="character" w:styleId="Style11" w:customStyle="1">
    <w:name w:val="Верхний колонтитул Знак"/>
    <w:basedOn w:val="DefaultParagraphFont"/>
    <w:uiPriority w:val="99"/>
    <w:qFormat/>
    <w:rPr/>
  </w:style>
  <w:style w:type="character" w:styleId="Style12" w:customStyle="1">
    <w:name w:val="Нижний колонтитул Знак"/>
    <w:basedOn w:val="DefaultParagraphFont"/>
    <w:uiPriority w:val="99"/>
    <w:qFormat/>
    <w:rPr/>
  </w:style>
  <w:style w:type="character" w:styleId="Style13" w:customStyle="1">
    <w:name w:val="Основной текст Знак"/>
    <w:qFormat/>
    <w:rPr>
      <w:rFonts w:ascii="Calibri" w:hAnsi="Calibri" w:cs="Calibri"/>
      <w:shd w:fill="FFFFFF" w:val="clear"/>
    </w:rPr>
  </w:style>
  <w:style w:type="character" w:styleId="12" w:customStyle="1">
    <w:name w:val="Основной текст Знак1"/>
    <w:basedOn w:val="DefaultParagraphFont"/>
    <w:uiPriority w:val="99"/>
    <w:semiHidden/>
    <w:qFormat/>
    <w:rPr/>
  </w:style>
  <w:style w:type="character" w:styleId="Apple-converted-space" w:customStyle="1">
    <w:name w:val="apple-converted-space"/>
    <w:basedOn w:val="DefaultParagraphFont"/>
    <w:qFormat/>
    <w:rPr/>
  </w:style>
  <w:style w:type="character" w:styleId="Style14" w:customStyle="1">
    <w:name w:val="Текст сноски Знак"/>
    <w:uiPriority w:val="99"/>
    <w:qFormat/>
    <w:rPr>
      <w:rFonts w:ascii="Times New Roman" w:hAnsi="Times New Roman" w:eastAsia="Times New Roman" w:cs="Times New Roman"/>
      <w:sz w:val="20"/>
      <w:szCs w:val="20"/>
      <w:lang w:eastAsia="ru-RU"/>
    </w:rPr>
  </w:style>
  <w:style w:type="character" w:styleId="Style15">
    <w:name w:val="Символ сноски"/>
    <w:uiPriority w:val="99"/>
    <w:semiHidden/>
    <w:qFormat/>
    <w:rPr>
      <w:vertAlign w:val="superscript"/>
    </w:rPr>
  </w:style>
  <w:style w:type="character" w:styleId="Style16">
    <w:name w:val="Footnote Reference"/>
    <w:rPr>
      <w:vertAlign w:val="superscript"/>
    </w:rPr>
  </w:style>
  <w:style w:type="character" w:styleId="FontStyle12" w:customStyle="1">
    <w:name w:val="Font Style12"/>
    <w:qFormat/>
    <w:rPr>
      <w:rFonts w:ascii="Times New Roman" w:hAnsi="Times New Roman" w:cs="Times New Roman"/>
      <w:sz w:val="24"/>
      <w:szCs w:val="24"/>
    </w:rPr>
  </w:style>
  <w:style w:type="character" w:styleId="Style17" w:customStyle="1">
    <w:name w:val="Основной текст_"/>
    <w:link w:val="14"/>
    <w:qFormat/>
    <w:rPr>
      <w:sz w:val="28"/>
      <w:szCs w:val="28"/>
      <w:shd w:fill="FFFFFF" w:val="clear"/>
    </w:rPr>
  </w:style>
  <w:style w:type="character" w:styleId="Style18" w:customStyle="1">
    <w:name w:val="Текст выноски Знак"/>
    <w:link w:val="BalloonText"/>
    <w:uiPriority w:val="99"/>
    <w:semiHidden/>
    <w:qFormat/>
    <w:rPr>
      <w:rFonts w:ascii="Tahoma" w:hAnsi="Tahoma" w:cs="Tahoma"/>
      <w:sz w:val="16"/>
      <w:szCs w:val="16"/>
    </w:rPr>
  </w:style>
  <w:style w:type="character" w:styleId="Annotationreference">
    <w:name w:val="annotation reference"/>
    <w:uiPriority w:val="99"/>
    <w:semiHidden/>
    <w:unhideWhenUsed/>
    <w:qFormat/>
    <w:rPr>
      <w:sz w:val="16"/>
      <w:szCs w:val="16"/>
    </w:rPr>
  </w:style>
  <w:style w:type="character" w:styleId="Style19" w:customStyle="1">
    <w:name w:val="Текст примечания Знак"/>
    <w:link w:val="Annotationtext"/>
    <w:uiPriority w:val="99"/>
    <w:qFormat/>
    <w:rPr>
      <w:sz w:val="20"/>
      <w:szCs w:val="20"/>
    </w:rPr>
  </w:style>
  <w:style w:type="character" w:styleId="Style20" w:customStyle="1">
    <w:name w:val="Тема примечания Знак"/>
    <w:link w:val="Annotationsubject"/>
    <w:uiPriority w:val="99"/>
    <w:semiHidden/>
    <w:qFormat/>
    <w:rPr>
      <w:b/>
      <w:bCs/>
      <w:sz w:val="20"/>
      <w:szCs w:val="20"/>
    </w:rPr>
  </w:style>
  <w:style w:type="character" w:styleId="111" w:customStyle="1">
    <w:name w:val="Основной текст Знак11"/>
    <w:uiPriority w:val="99"/>
    <w:semiHidden/>
    <w:qFormat/>
    <w:rPr>
      <w:rFonts w:cs="Times New Roman"/>
    </w:rPr>
  </w:style>
  <w:style w:type="character" w:styleId="-">
    <w:name w:val="Hyperlink"/>
    <w:basedOn w:val="DefaultParagraphFont"/>
    <w:uiPriority w:val="99"/>
    <w:unhideWhenUsed/>
    <w:rPr>
      <w:color w:val="0563C1" w:themeColor="hyperlink"/>
      <w:u w:val="single"/>
    </w:rPr>
  </w:style>
  <w:style w:type="character" w:styleId="FontStyle33" w:customStyle="1">
    <w:name w:val="Font Style33"/>
    <w:basedOn w:val="DefaultParagraphFont"/>
    <w:uiPriority w:val="99"/>
    <w:qFormat/>
    <w:rPr>
      <w:rFonts w:ascii="Times New Roman" w:hAnsi="Times New Roman" w:cs="Times New Roman"/>
      <w:sz w:val="28"/>
      <w:szCs w:val="28"/>
    </w:rPr>
  </w:style>
  <w:style w:type="paragraph" w:styleId="Style21">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link w:val="Style13"/>
    <w:pPr>
      <w:widowControl w:val="false"/>
      <w:shd w:val="clear" w:color="auto" w:fill="FFFFFF"/>
      <w:spacing w:lineRule="exact" w:line="298" w:before="0" w:after="780"/>
      <w:ind w:hanging="1600"/>
    </w:pPr>
    <w:rPr>
      <w:rFonts w:cs="Calibri"/>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rPr>
  </w:style>
  <w:style w:type="paragraph" w:styleId="NoSpacing">
    <w:name w:val="No Spacing"/>
    <w:uiPriority w:val="1"/>
    <w:qFormat/>
    <w:pPr>
      <w:widowControl/>
      <w:bidi w:val="0"/>
      <w:spacing w:before="0" w:after="0"/>
      <w:jc w:val="left"/>
    </w:pPr>
    <w:rPr>
      <w:rFonts w:ascii="Calibri" w:hAnsi="Calibri" w:eastAsia="Calibri" w:cs="Times New Roman"/>
      <w:color w:val="auto"/>
      <w:kern w:val="0"/>
      <w:sz w:val="20"/>
      <w:szCs w:val="20"/>
      <w:lang w:val="ru-RU" w:eastAsia="ru-RU" w:bidi="ar-SA"/>
    </w:rPr>
  </w:style>
  <w:style w:type="paragraph" w:styleId="Style26">
    <w:name w:val="Title"/>
    <w:basedOn w:val="Normal"/>
    <w:next w:val="Normal"/>
    <w:link w:val="Style5"/>
    <w:uiPriority w:val="10"/>
    <w:qFormat/>
    <w:pPr>
      <w:spacing w:before="300" w:after="200"/>
      <w:contextualSpacing/>
    </w:pPr>
    <w:rPr>
      <w:sz w:val="48"/>
      <w:szCs w:val="48"/>
    </w:rPr>
  </w:style>
  <w:style w:type="paragraph" w:styleId="Style27">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2"/>
    <w:uiPriority w:val="29"/>
    <w:qFormat/>
    <w:pPr>
      <w:ind w:left="720" w:right="720" w:firstLine="709"/>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709"/>
    </w:pPr>
    <w:rPr>
      <w:i/>
    </w:rPr>
  </w:style>
  <w:style w:type="paragraph" w:styleId="Caption">
    <w:name w:val="caption"/>
    <w:basedOn w:val="Normal"/>
    <w:next w:val="Normal"/>
    <w:uiPriority w:val="35"/>
    <w:semiHidden/>
    <w:unhideWhenUsed/>
    <w:qFormat/>
    <w:pPr>
      <w:spacing w:lineRule="auto" w:line="276"/>
    </w:pPr>
    <w:rPr>
      <w:b/>
      <w:bCs/>
      <w:color w:val="5B9BD5" w:themeColor="accent1"/>
      <w:sz w:val="18"/>
      <w:szCs w:val="18"/>
    </w:rPr>
  </w:style>
  <w:style w:type="paragraph" w:styleId="Style28">
    <w:name w:val="Endnote Text"/>
    <w:basedOn w:val="Normal"/>
    <w:link w:val="Style8"/>
    <w:uiPriority w:val="99"/>
    <w:semiHidden/>
    <w:unhideWhenUsed/>
    <w:pPr/>
    <w:rPr>
      <w:sz w:val="20"/>
    </w:rPr>
  </w:style>
  <w:style w:type="paragraph" w:styleId="13">
    <w:name w:val="TOC 1"/>
    <w:basedOn w:val="Normal"/>
    <w:next w:val="Normal"/>
    <w:uiPriority w:val="39"/>
    <w:unhideWhenUsed/>
    <w:pPr>
      <w:spacing w:before="0" w:after="57"/>
      <w:ind w:hanging="0"/>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9">
    <w:name w:val="Index Heading"/>
    <w:basedOn w:val="Style21"/>
    <w:pPr/>
    <w:rPr/>
  </w:style>
  <w:style w:type="paragraph" w:styleId="Style30">
    <w:name w:val="TOC Heading"/>
    <w:uiPriority w:val="39"/>
    <w:unhideWhenUsed/>
    <w:pPr>
      <w:widowControl/>
      <w:bidi w:val="0"/>
      <w:spacing w:before="0" w:after="0"/>
      <w:jc w:val="left"/>
    </w:pPr>
    <w:rPr>
      <w:rFonts w:ascii="Calibri" w:hAnsi="Calibri" w:eastAsia="Calibri" w:cs="Times New Roman"/>
      <w:color w:val="auto"/>
      <w:kern w:val="0"/>
      <w:sz w:val="20"/>
      <w:szCs w:val="20"/>
      <w:lang w:val="ru-RU" w:eastAsia="ru-RU" w:bidi="ar-SA"/>
    </w:rPr>
  </w:style>
  <w:style w:type="paragraph" w:styleId="Tableoffigures">
    <w:name w:val="table of figures"/>
    <w:basedOn w:val="Normal"/>
    <w:next w:val="Normal"/>
    <w:uiPriority w:val="99"/>
    <w:unhideWhenUsed/>
    <w:qFormat/>
    <w:pPr/>
    <w:rPr/>
  </w:style>
  <w:style w:type="paragraph" w:styleId="Style31">
    <w:name w:val="Колонтитул"/>
    <w:basedOn w:val="Normal"/>
    <w:qFormat/>
    <w:pPr/>
    <w:rPr/>
  </w:style>
  <w:style w:type="paragraph" w:styleId="Style32">
    <w:name w:val="Header"/>
    <w:basedOn w:val="Normal"/>
    <w:link w:val="Style11"/>
    <w:uiPriority w:val="99"/>
    <w:unhideWhenUsed/>
    <w:pPr>
      <w:tabs>
        <w:tab w:val="clear" w:pos="709"/>
        <w:tab w:val="center" w:pos="4677" w:leader="none"/>
        <w:tab w:val="right" w:pos="9355" w:leader="none"/>
      </w:tabs>
    </w:pPr>
    <w:rPr/>
  </w:style>
  <w:style w:type="paragraph" w:styleId="Style33">
    <w:name w:val="Footer"/>
    <w:basedOn w:val="Normal"/>
    <w:link w:val="Style12"/>
    <w:uiPriority w:val="99"/>
    <w:unhideWhenUsed/>
    <w:pPr>
      <w:tabs>
        <w:tab w:val="clear" w:pos="709"/>
        <w:tab w:val="center" w:pos="4677" w:leader="none"/>
        <w:tab w:val="right" w:pos="9355" w:leader="none"/>
      </w:tabs>
    </w:pPr>
    <w:rPr/>
  </w:style>
  <w:style w:type="paragraph" w:styleId="ConsPlusNonformat" w:customStyle="1">
    <w:name w:val="ConsPlusNonformat"/>
    <w:uiPriority w:val="99"/>
    <w:qFormat/>
    <w:pPr>
      <w:widowControl/>
      <w:bidi w:val="0"/>
      <w:spacing w:before="0" w:after="0"/>
      <w:ind w:firstLine="709"/>
      <w:jc w:val="both"/>
    </w:pPr>
    <w:rPr>
      <w:rFonts w:ascii="Courier New" w:hAnsi="Courier New" w:cs="Courier New" w:eastAsia="Calibri"/>
      <w:color w:val="auto"/>
      <w:kern w:val="0"/>
      <w:sz w:val="20"/>
      <w:szCs w:val="20"/>
      <w:lang w:eastAsia="en-US" w:val="ru-RU" w:bidi="ar-SA"/>
    </w:rPr>
  </w:style>
  <w:style w:type="paragraph" w:styleId="ListParagraph">
    <w:name w:val="List Paragraph"/>
    <w:basedOn w:val="Normal"/>
    <w:uiPriority w:val="34"/>
    <w:qFormat/>
    <w:pPr>
      <w:spacing w:before="0" w:after="0"/>
      <w:ind w:left="720" w:firstLine="709"/>
      <w:contextualSpacing/>
    </w:pPr>
    <w:rPr/>
  </w:style>
  <w:style w:type="paragraph" w:styleId="Default" w:customStyle="1">
    <w:name w:val="Default"/>
    <w:qFormat/>
    <w:pPr>
      <w:widowControl/>
      <w:bidi w:val="0"/>
      <w:spacing w:before="0" w:after="0"/>
      <w:ind w:firstLine="709"/>
      <w:jc w:val="both"/>
    </w:pPr>
    <w:rPr>
      <w:rFonts w:ascii="Times New Roman" w:hAnsi="Times New Roman" w:eastAsia="Calibri" w:cs="Times New Roman"/>
      <w:color w:val="000000"/>
      <w:kern w:val="0"/>
      <w:sz w:val="24"/>
      <w:szCs w:val="24"/>
      <w:lang w:val="ru-RU" w:eastAsia="ru-RU" w:bidi="ar-SA"/>
    </w:rPr>
  </w:style>
  <w:style w:type="paragraph" w:styleId="NormalWeb">
    <w:name w:val="Normal (Web)"/>
    <w:basedOn w:val="Normal"/>
    <w:uiPriority w:val="99"/>
    <w:unhideWhenUsed/>
    <w:qFormat/>
    <w:pPr>
      <w:spacing w:before="240" w:after="240"/>
    </w:pPr>
    <w:rPr>
      <w:rFonts w:ascii="Times New Roman" w:hAnsi="Times New Roman" w:eastAsia="Times New Roman"/>
      <w:sz w:val="24"/>
      <w:szCs w:val="24"/>
      <w:lang w:eastAsia="ru-RU"/>
    </w:rPr>
  </w:style>
  <w:style w:type="paragraph" w:styleId="Style34">
    <w:name w:val="Footnote Text"/>
    <w:basedOn w:val="Normal"/>
    <w:link w:val="Style14"/>
    <w:uiPriority w:val="99"/>
    <w:pPr/>
    <w:rPr>
      <w:rFonts w:ascii="Times New Roman" w:hAnsi="Times New Roman" w:eastAsia="Times New Roman"/>
      <w:sz w:val="20"/>
      <w:szCs w:val="20"/>
      <w:lang w:eastAsia="ru-RU"/>
    </w:rPr>
  </w:style>
  <w:style w:type="paragraph" w:styleId="14" w:customStyle="1">
    <w:name w:val="Основной текст1"/>
    <w:basedOn w:val="Normal"/>
    <w:link w:val="Style17"/>
    <w:qFormat/>
    <w:pPr>
      <w:shd w:val="clear" w:color="auto" w:fill="FFFFFF"/>
      <w:spacing w:lineRule="atLeast" w:line="0" w:before="0" w:after="420"/>
      <w:ind w:hanging="420"/>
      <w:jc w:val="center"/>
    </w:pPr>
    <w:rPr>
      <w:sz w:val="28"/>
      <w:szCs w:val="28"/>
    </w:rPr>
  </w:style>
  <w:style w:type="paragraph" w:styleId="BalloonText">
    <w:name w:val="Balloon Text"/>
    <w:basedOn w:val="Normal"/>
    <w:link w:val="Style18"/>
    <w:uiPriority w:val="99"/>
    <w:semiHidden/>
    <w:unhideWhenUsed/>
    <w:qFormat/>
    <w:pPr/>
    <w:rPr>
      <w:rFonts w:ascii="Tahoma" w:hAnsi="Tahoma" w:cs="Tahoma"/>
      <w:sz w:val="16"/>
      <w:szCs w:val="16"/>
    </w:rPr>
  </w:style>
  <w:style w:type="paragraph" w:styleId="Annotationtext">
    <w:name w:val="annotation text"/>
    <w:basedOn w:val="Normal"/>
    <w:link w:val="Style19"/>
    <w:uiPriority w:val="99"/>
    <w:unhideWhenUsed/>
    <w:qFormat/>
    <w:pPr/>
    <w:rPr>
      <w:sz w:val="20"/>
      <w:szCs w:val="20"/>
    </w:rPr>
  </w:style>
  <w:style w:type="paragraph" w:styleId="Annotationsubject">
    <w:name w:val="annotation subject"/>
    <w:basedOn w:val="Annotationtext"/>
    <w:next w:val="Annotationtext"/>
    <w:link w:val="Style20"/>
    <w:uiPriority w:val="99"/>
    <w:semiHidden/>
    <w:unhideWhenUsed/>
    <w:qFormat/>
    <w:pPr/>
    <w:rPr>
      <w:b/>
      <w:bCs/>
    </w:rPr>
  </w:style>
  <w:style w:type="paragraph" w:styleId="ConsPlusNormal" w:customStyle="1">
    <w:name w:val="ConsPlusNormal"/>
    <w:qFormat/>
    <w:pPr>
      <w:widowControl/>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Revision">
    <w:name w:val="Revision"/>
    <w:uiPriority w:val="99"/>
    <w:semiHidden/>
    <w:qFormat/>
    <w:pPr>
      <w:widowControl/>
      <w:bidi w:val="0"/>
      <w:spacing w:before="0" w:after="0"/>
      <w:jc w:val="left"/>
    </w:pPr>
    <w:rPr>
      <w:rFonts w:ascii="Calibri" w:hAnsi="Calibri" w:eastAsia="Calibri" w:cs="Times New Roman"/>
      <w:color w:val="auto"/>
      <w:kern w:val="0"/>
      <w:sz w:val="22"/>
      <w:szCs w:val="22"/>
      <w:lang w:eastAsia="en-US"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
    <w:name w:val="Таблица простая 41"/>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customStyle="1" w:styleId="-7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customStyle="1" w:styleId="-410">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710">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E0B1C8ADAC653FBEA55D1E9049ED91A63B5BC1BDB036D12C5B445229pEa3J" TargetMode="External"/><Relationship Id="rId3" Type="http://schemas.openxmlformats.org/officeDocument/2006/relationships/hyperlink" Target="https://mintrud.gov.ru/ministry/programms/anticorruption/9/instruktivno-metodicheskie-materialy-po-fz" TargetMode="External"/><Relationship Id="rId4" Type="http://schemas.openxmlformats.org/officeDocument/2006/relationships/hyperlink" Target="consultantplus://offline/ref=C9E7374AA1332C6CF9FF0059DC9BC42D7E0C4094E90E8D4E87A0DE0B00JBsBL" TargetMode="External"/><Relationship Id="rId5" Type="http://schemas.openxmlformats.org/officeDocument/2006/relationships/hyperlink" Target="consultantplus://offline/ref=176F7DE9F43BBC5D4BD135AAE1CAD04D0FAF9650A130B33DA87DA13E97FAF95DCF18F97FDC1FE2FAH7g2M" TargetMode="External"/><Relationship Id="rId6" Type="http://schemas.openxmlformats.org/officeDocument/2006/relationships/hyperlink" Target="consultantplus://offline/ref=7F2EEDDD06F168B694690D2DE649735BC9E53CBFC16FEC31087E4E96CAJ2nFL" TargetMode="External"/><Relationship Id="rId7" Type="http://schemas.openxmlformats.org/officeDocument/2006/relationships/hyperlink" Target="consultantplus://offline/ref=3743F552A0D416E80BEAF690826125BB530BB097B6A5A5C17137C1E72FF3E91DCF3284BA9D2A6279g3rBM" TargetMode="External"/><Relationship Id="rId8" Type="http://schemas.openxmlformats.org/officeDocument/2006/relationships/hyperlink" Target="consultantplus://offline/ref=7F2EEDDD06F168B694690D2DE649735BC9E53CBFC16FEC31087E4E96CAJ2nFL" TargetMode="External"/><Relationship Id="rId9" Type="http://schemas.openxmlformats.org/officeDocument/2006/relationships/hyperlink" Target="consultantplus://offline/ref=33E7B6DD529722622844D6F9EBC8DBA03B3FAEDA9118A1613233FFF35FCD6ECFCAED66496D73EC2Di9vDO" TargetMode="External"/><Relationship Id="rId10" Type="http://schemas.openxmlformats.org/officeDocument/2006/relationships/hyperlink" Target="https://mintrud.gov.ru/ministry/programms/anticorruption/9/23" TargetMode="External"/><Relationship Id="rId11" Type="http://schemas.openxmlformats.org/officeDocument/2006/relationships/hyperlink" Target="https://mintrud.gov.ru/ministry/programms/anticorruption/9/23" TargetMode="External"/><Relationship Id="rId12" Type="http://schemas.openxmlformats.org/officeDocument/2006/relationships/hyperlink" Target="https://mintrud.gov.ru/ministry/programms/anticorruption/9/23" TargetMode="External"/><Relationship Id="rId13" Type="http://schemas.openxmlformats.org/officeDocument/2006/relationships/hyperlink" Target="https://mintrud.gov.ru/ministry/programms/anticorruption/9/24" TargetMode="External"/><Relationship Id="rId14" Type="http://schemas.openxmlformats.org/officeDocument/2006/relationships/hyperlink" Target="https://lkfl2.nalog.ru/lkfl" TargetMode="External"/><Relationship Id="rId15" Type="http://schemas.openxmlformats.org/officeDocument/2006/relationships/hyperlink" Target="https://lkfl2.nalog.ru/lkfl" TargetMode="External"/><Relationship Id="rId16" Type="http://schemas.openxmlformats.org/officeDocument/2006/relationships/hyperlink" Target="https://sfr.gov.ru/" TargetMode="External"/><Relationship Id="rId17" Type="http://schemas.openxmlformats.org/officeDocument/2006/relationships/hyperlink" Target="https://lkfl2.nalog.ru/lkfl" TargetMode="External"/><Relationship Id="rId18" Type="http://schemas.openxmlformats.org/officeDocument/2006/relationships/hyperlink" Target="https://lkfl2.nalog.ru/lkfl" TargetMode="External"/><Relationship Id="rId19" Type="http://schemas.openxmlformats.org/officeDocument/2006/relationships/hyperlink" Target="https://lkfl2.nalog.ru/lkfl" TargetMode="External"/><Relationship Id="rId20" Type="http://schemas.openxmlformats.org/officeDocument/2006/relationships/hyperlink" Target="https://www.gosuslugi.ru/" TargetMode="External"/><Relationship Id="rId21" Type="http://schemas.openxmlformats.org/officeDocument/2006/relationships/hyperlink" Target="http://www.kremlin.ru/structure/additional/12" TargetMode="External"/><Relationship Id="rId22" Type="http://schemas.openxmlformats.org/officeDocument/2006/relationships/hyperlink" Target="https://gossluzhba.gov.ru/anticorruption/spravki_bk" TargetMode="External"/><Relationship Id="rId23" Type="http://schemas.openxmlformats.org/officeDocument/2006/relationships/hyperlink" Target="https://www.cbr.ru/currency_base/daily/" TargetMode="External"/><Relationship Id="rId24" Type="http://schemas.openxmlformats.org/officeDocument/2006/relationships/hyperlink" Target="https://mintrud.gov.ru/docs/1872" TargetMode="External"/><Relationship Id="rId25" Type="http://schemas.openxmlformats.org/officeDocument/2006/relationships/hyperlink" Target="https://lk.rosreestr.ru/eservices/real-estate-objects-online" TargetMode="External"/><Relationship Id="rId26" Type="http://schemas.openxmlformats.org/officeDocument/2006/relationships/hyperlink" Target="https://www.gibdd.ru/r/77/contacts/div1145039/" TargetMode="External"/><Relationship Id="rId27" Type="http://schemas.openxmlformats.org/officeDocument/2006/relationships/hyperlink" Target="https://www.gibdd.ru/r/66/contacts/div1165058/" TargetMode="External"/><Relationship Id="rId28" Type="http://schemas.openxmlformats.org/officeDocument/2006/relationships/hyperlink" Target="https://www.gibdd.ru/r/66/contacts/div1165043/" TargetMode="External"/><Relationship Id="rId29" Type="http://schemas.openxmlformats.org/officeDocument/2006/relationships/hyperlink" Target="https://www.cbr.ru/hd_base/metall/metall_base_new/" TargetMode="External"/><Relationship Id="rId30" Type="http://schemas.openxmlformats.org/officeDocument/2006/relationships/hyperlink" Target="https://www.nalog.ru/rn77/related_activities/accounting/bank_account/" TargetMode="External"/><Relationship Id="rId31" Type="http://schemas.openxmlformats.org/officeDocument/2006/relationships/hyperlink" Target="https://mintrud.gov.ru/ministry/programms/anticorruption/9/21" TargetMode="External"/><Relationship Id="rId32" Type="http://schemas.openxmlformats.org/officeDocument/2006/relationships/header" Target="header1.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Relationship Id="rId3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LibreOffice/7.5.4.2$Windows_X86_64 LibreOffice_project/36ccfdc35048b057fd9854c757a8b67ec53977b6</Application>
  <AppVersion>15.0000</AppVersion>
  <Pages>71</Pages>
  <Words>2023</Words>
  <Characters>14241</Characters>
  <CharactersWithSpaces>16198</CharactersWithSpaces>
  <Paragraphs>57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2024-12-26T15:33:00Z</dcterms:created>
  <dc:creator>KovalkovaEA</dc:creator>
  <dc:description/>
  <dc:language>ru-RU</dc:language>
  <cp:lastModifiedBy>Голубцов Артур Сергеевич</cp:lastModifiedBy>
  <cp:lastPrinted>2025-01-16T09:26:46Z</cp:lastPrinted>
  <dcterms:modified xsi:type="dcterms:W3CDTF">2024-12-27T07:36:00Z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