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widowControl/>
        <w:suppressAutoHyphens w:val="false"/>
        <w:spacing w:lineRule="auto" w:line="276" w:before="0" w:after="200"/>
        <w:ind w:left="0" w:right="0"/>
        <w:contextualSpacing/>
        <w:jc w:val="center"/>
        <w:textAlignment w:val="auto"/>
        <w:rPr/>
      </w:pPr>
      <w:r>
        <w:rPr>
          <w:rFonts w:cs="Times New Roman" w:ascii="Times New Roman" w:hAnsi="Times New Roman"/>
          <w:b/>
          <w:bCs/>
          <w:color w:val="auto"/>
          <w:sz w:val="28"/>
          <w:szCs w:val="28"/>
          <w:lang w:val="ru-RU" w:bidi="ar-SA"/>
        </w:rPr>
        <w:t xml:space="preserve">Анализ </w:t>
      </w:r>
      <w:r>
        <w:rPr>
          <w:rFonts w:eastAsia="SimSun" w:cs="Times New Roman" w:ascii="Times New Roman" w:hAnsi="Times New Roman"/>
          <w:b/>
          <w:bCs/>
          <w:color w:val="auto"/>
          <w:kern w:val="2"/>
          <w:sz w:val="28"/>
          <w:szCs w:val="28"/>
          <w:lang w:val="ru-RU" w:eastAsia="ar-SA" w:bidi="ar-SA"/>
        </w:rPr>
        <w:t>состояния</w:t>
      </w:r>
      <w:r>
        <w:rPr>
          <w:rFonts w:cs="Times New Roman" w:ascii="Times New Roman" w:hAnsi="Times New Roman"/>
          <w:b/>
          <w:bCs/>
          <w:color w:val="auto"/>
          <w:sz w:val="28"/>
          <w:szCs w:val="28"/>
          <w:lang w:val="ru-RU" w:bidi="ar-SA"/>
        </w:rPr>
        <w:t xml:space="preserve"> конкуренции на товарных рынках сферы образования.</w:t>
      </w:r>
    </w:p>
    <w:p>
      <w:pPr>
        <w:pStyle w:val="Normal"/>
        <w:tabs>
          <w:tab w:val="clear" w:pos="708"/>
          <w:tab w:val="left" w:pos="2145" w:leader="none"/>
        </w:tabs>
        <w:spacing w:lineRule="auto" w:line="240" w:before="0" w:after="0"/>
        <w:ind w:firstLine="851" w:right="0"/>
        <w:jc w:val="both"/>
        <w:rPr/>
      </w:pPr>
      <w:r>
        <w:rPr>
          <w:rFonts w:cs="Times New Roman" w:ascii="Times New Roman" w:hAnsi="Times New Roman"/>
          <w:sz w:val="28"/>
          <w:szCs w:val="28"/>
        </w:rPr>
        <w:t xml:space="preserve">По результатам опроса, большинство жителей </w:t>
      </w:r>
      <w:r>
        <w:rPr>
          <w:rFonts w:eastAsia="SimSun" w:cs="Times New Roman" w:ascii="Times New Roman" w:hAnsi="Times New Roman"/>
          <w:color w:val="auto"/>
          <w:kern w:val="2"/>
          <w:sz w:val="28"/>
          <w:szCs w:val="28"/>
          <w:lang w:val="ru-RU" w:eastAsia="ar-SA" w:bidi="ar-SA"/>
        </w:rPr>
        <w:t>83</w:t>
      </w:r>
      <w:r>
        <w:rPr>
          <w:rFonts w:cs="Times New Roman" w:ascii="Times New Roman" w:hAnsi="Times New Roman"/>
          <w:sz w:val="28"/>
          <w:szCs w:val="28"/>
        </w:rPr>
        <w:t xml:space="preserve"> % считают, что организаций, оказывающих услуги в сфере образования достаточно, 17 % - мало.</w:t>
      </w:r>
    </w:p>
    <w:p>
      <w:pPr>
        <w:pStyle w:val="Normal"/>
        <w:suppressAutoHyphens w:val="false"/>
        <w:spacing w:lineRule="auto" w:line="240" w:before="0" w:after="0"/>
        <w:ind w:firstLine="851" w:right="0"/>
        <w:jc w:val="both"/>
        <w:textAlignment w:val="auto"/>
        <w:rPr>
          <w:rFonts w:ascii="Times New Roman" w:hAnsi="Times New Roman" w:eastAsia="Calibri" w:cs="Times New Roman"/>
          <w:kern w:val="0"/>
          <w:sz w:val="28"/>
          <w:szCs w:val="28"/>
          <w:lang w:eastAsia="en-US"/>
        </w:rPr>
      </w:pPr>
      <w:r>
        <w:rPr>
          <w:rFonts w:eastAsia="Calibri" w:cs="Times New Roman" w:ascii="Times New Roman" w:hAnsi="Times New Roman"/>
          <w:kern w:val="0"/>
          <w:sz w:val="28"/>
          <w:szCs w:val="28"/>
          <w:lang w:eastAsia="en-US"/>
        </w:rPr>
        <w:t>Большинство респондентов (89%) удовлетворены или скорее удовлетворены уровнем цен, качеством и доступностью услуг, оказываемых хозяйствующими субъектами на товарных рынках в сфере образования.</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78</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образования увеличился, 53 %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53 % - повышение уровня доступности данных услуг. </w:t>
      </w:r>
    </w:p>
    <w:p>
      <w:pPr>
        <w:pStyle w:val="Normal"/>
        <w:spacing w:lineRule="auto" w:line="240" w:before="0" w:after="0"/>
        <w:jc w:val="both"/>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образования</w:t>
      </w:r>
      <w:r>
        <w:rPr>
          <w:rFonts w:eastAsia="Calibri" w:cs="Times New Roman" w:ascii="Times New Roman" w:hAnsi="Times New Roman"/>
          <w:bCs/>
          <w:color w:val="auto"/>
          <w:kern w:val="0"/>
          <w:sz w:val="28"/>
          <w:szCs w:val="28"/>
          <w:lang w:val="ru-RU" w:eastAsia="en-US" w:bidi="ar-SA"/>
        </w:rPr>
        <w:t xml:space="preserve">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b/>
          <w:bCs/>
          <w:color w:val="auto"/>
          <w:kern w:val="0"/>
          <w:sz w:val="28"/>
          <w:szCs w:val="28"/>
          <w:lang w:val="ru-RU" w:eastAsia="en-US" w:bidi="ar-SA"/>
        </w:rPr>
        <w:t xml:space="preserve">- Рынок услуг дополнительного образования детей. </w:t>
      </w:r>
      <w:r>
        <w:rPr>
          <w:rFonts w:eastAsia="Calibri" w:cs="Times New Roman" w:ascii="Times New Roman" w:hAnsi="Times New Roman"/>
          <w:bCs/>
          <w:color w:val="auto"/>
          <w:kern w:val="0"/>
          <w:sz w:val="28"/>
          <w:szCs w:val="28"/>
          <w:lang w:val="ru-RU" w:eastAsia="en-US" w:bidi="ar-SA"/>
        </w:rPr>
        <w:t>В системе образования муниципального образования Кореновский район функционирует 6 муниципальных организаций дополнительного образования различной направленности: дом творчества, детско-юношеская спортивная школа, спортивно - досуговый центр, 2 школы искусств.</w:t>
      </w:r>
    </w:p>
    <w:p>
      <w:pPr>
        <w:pStyle w:val="Normal"/>
        <w:suppressAutoHyphens w:val="false"/>
        <w:spacing w:lineRule="auto" w:line="240" w:before="0" w:after="0"/>
        <w:ind w:firstLine="731" w:right="0"/>
        <w:jc w:val="both"/>
        <w:rPr/>
      </w:pPr>
      <w:r>
        <w:rPr>
          <w:rFonts w:eastAsia="Calibri" w:cs="Times New Roman" w:ascii="Times New Roman" w:hAnsi="Times New Roman"/>
          <w:bCs/>
          <w:color w:val="auto"/>
          <w:kern w:val="0"/>
          <w:sz w:val="28"/>
          <w:szCs w:val="28"/>
          <w:lang w:val="ru-RU" w:eastAsia="en-US" w:bidi="ar-SA"/>
        </w:rPr>
        <w:t xml:space="preserve">В рамках проекта </w:t>
      </w:r>
      <w:r>
        <w:rPr>
          <w:rFonts w:eastAsia="Calibri" w:cs="Times New Roman" w:ascii="Times New Roman" w:hAnsi="Times New Roman"/>
          <w:b w:val="false"/>
          <w:bCs w:val="false"/>
          <w:color w:val="auto"/>
          <w:kern w:val="0"/>
          <w:sz w:val="28"/>
          <w:szCs w:val="28"/>
          <w:lang w:val="ru-RU" w:eastAsia="en-US" w:bidi="ar-SA"/>
        </w:rPr>
        <w:t>«Современная школа»</w:t>
      </w:r>
      <w:r>
        <w:rPr>
          <w:rFonts w:eastAsia="Calibri" w:cs="Times New Roman" w:ascii="Times New Roman" w:hAnsi="Times New Roman"/>
          <w:bCs/>
          <w:color w:val="auto"/>
          <w:kern w:val="0"/>
          <w:sz w:val="28"/>
          <w:szCs w:val="28"/>
          <w:lang w:val="ru-RU" w:eastAsia="en-US" w:bidi="ar-SA"/>
        </w:rPr>
        <w:t xml:space="preserve"> при поддержке федерального бюджета в районе созданы 17 Центров образования цифрового и гуманитарного профилей </w:t>
      </w:r>
      <w:r>
        <w:rPr>
          <w:rFonts w:eastAsia="Calibri" w:cs="Times New Roman" w:ascii="Times New Roman" w:hAnsi="Times New Roman"/>
          <w:b w:val="false"/>
          <w:bCs w:val="false"/>
          <w:color w:val="auto"/>
          <w:kern w:val="0"/>
          <w:sz w:val="28"/>
          <w:szCs w:val="28"/>
          <w:lang w:val="ru-RU" w:eastAsia="en-US" w:bidi="ar-SA"/>
        </w:rPr>
        <w:t>«Точка роста»</w:t>
      </w:r>
      <w:r>
        <w:rPr>
          <w:rFonts w:eastAsia="Calibri" w:cs="Times New Roman" w:ascii="Times New Roman" w:hAnsi="Times New Roman"/>
          <w:bCs/>
          <w:color w:val="auto"/>
          <w:kern w:val="0"/>
          <w:sz w:val="28"/>
          <w:szCs w:val="28"/>
          <w:lang w:val="ru-RU" w:eastAsia="en-US" w:bidi="ar-SA"/>
        </w:rPr>
        <w:t xml:space="preserve">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708" w:right="0"/>
        <w:jc w:val="both"/>
        <w:rPr/>
      </w:pPr>
      <w:r>
        <w:rPr>
          <w:rFonts w:eastAsia="Calibri" w:cs="Times New Roman" w:ascii="Times New Roman" w:hAnsi="Times New Roman"/>
          <w:color w:val="auto"/>
          <w:kern w:val="0"/>
          <w:sz w:val="28"/>
          <w:szCs w:val="28"/>
          <w:lang w:val="ru-RU" w:eastAsia="en-US" w:bidi="ar-SA"/>
        </w:rPr>
        <w:t xml:space="preserve">Дополнительное информирование потенциальных потребителей о возможностях получения дополнительного образования осуществляется за счет ведения </w:t>
      </w:r>
      <w:r>
        <w:rPr>
          <w:rFonts w:eastAsia="Calibri" w:cs="Times New Roman" w:ascii="Times New Roman" w:hAnsi="Times New Roman"/>
          <w:b w:val="false"/>
          <w:bCs w:val="false"/>
          <w:color w:val="auto"/>
          <w:kern w:val="0"/>
          <w:sz w:val="28"/>
          <w:szCs w:val="28"/>
          <w:lang w:val="ru-RU" w:eastAsia="en-US" w:bidi="ar-SA"/>
        </w:rPr>
        <w:t>«Навигатора»</w:t>
      </w:r>
      <w:r>
        <w:rPr>
          <w:rFonts w:eastAsia="Calibri" w:cs="Times New Roman" w:ascii="Times New Roman" w:hAnsi="Times New Roman"/>
          <w:color w:val="auto"/>
          <w:kern w:val="0"/>
          <w:sz w:val="28"/>
          <w:szCs w:val="28"/>
          <w:lang w:val="ru-RU" w:eastAsia="en-US" w:bidi="ar-SA"/>
        </w:rPr>
        <w:t xml:space="preserve"> по дополнительным общеобразовательным программам в информационно-телекоммуникационной сети «Интернет» (https://р23.навигатор.дети/). </w:t>
      </w:r>
    </w:p>
    <w:p>
      <w:pPr>
        <w:pStyle w:val="11"/>
        <w:shd w:val="clear" w:fill="FFFFFF"/>
        <w:suppressAutoHyphens w:val="false"/>
        <w:spacing w:lineRule="auto" w:line="240" w:before="0" w:after="0"/>
        <w:ind w:firstLine="720" w:left="0" w:right="0"/>
        <w:jc w:val="both"/>
        <w:rPr/>
      </w:pPr>
      <w:r>
        <w:rPr>
          <w:rFonts w:eastAsia="Calibri" w:cs="Times New Roman"/>
          <w:color w:val="auto"/>
          <w:kern w:val="0"/>
          <w:sz w:val="28"/>
          <w:szCs w:val="28"/>
          <w:lang w:val="ru-RU" w:eastAsia="en-US" w:bidi="ar-SA"/>
        </w:rPr>
        <w:t xml:space="preserve">В </w:t>
      </w:r>
      <w:r>
        <w:rPr>
          <w:rFonts w:eastAsia="Calibri" w:cs="Times New Roman"/>
          <w:b w:val="false"/>
          <w:bCs w:val="false"/>
          <w:color w:val="auto"/>
          <w:kern w:val="0"/>
          <w:sz w:val="28"/>
          <w:szCs w:val="28"/>
          <w:lang w:val="ru-RU" w:eastAsia="en-US" w:bidi="ar-SA"/>
        </w:rPr>
        <w:t>Доме художественного творчества детей</w:t>
      </w:r>
      <w:r>
        <w:rPr>
          <w:rFonts w:eastAsia="Calibri" w:cs="Times New Roman"/>
          <w:color w:val="auto"/>
          <w:kern w:val="0"/>
          <w:sz w:val="28"/>
          <w:szCs w:val="28"/>
          <w:lang w:val="ru-RU" w:eastAsia="en-US" w:bidi="ar-SA"/>
        </w:rPr>
        <w:t xml:space="preserve"> реализуются: общее количество программ – 102 (из них 66 учебных программ ознакомительного уровня, 29 учебных программ базового уровня, 7 – комплексных), функционируют 254 группы (из них 152 по муниципальному заданию). Общее количество учащихся – 2609 (из них: 1627 учащихся занимаются по муниципальному заданию, 934  - по ПФДО, 48 учащихся охвачены платными услугами)</w:t>
      </w:r>
      <w:r>
        <w:rPr>
          <w:rFonts w:eastAsia="Calibri" w:cs="Times New Roman"/>
          <w:b w:val="false"/>
          <w:bCs w:val="false"/>
          <w:color w:val="000000"/>
          <w:kern w:val="0"/>
          <w:sz w:val="28"/>
          <w:szCs w:val="28"/>
          <w:shd w:fill="auto" w:val="clear"/>
          <w:lang w:val="ru-RU" w:eastAsia="en-US" w:bidi="ar-SA"/>
        </w:rPr>
        <w:t>. Охват занятостью и оздоровлением летом более 1450 детей в возрасте от 6 до 18 лет.</w:t>
      </w:r>
    </w:p>
    <w:p>
      <w:pPr>
        <w:pStyle w:val="11"/>
        <w:shd w:val="clear" w:fill="FFFFFF"/>
        <w:suppressAutoHyphens w:val="false"/>
        <w:spacing w:lineRule="auto" w:line="240" w:before="0" w:after="0"/>
        <w:ind w:firstLine="580" w:left="0" w:right="0"/>
        <w:jc w:val="both"/>
        <w:rPr/>
      </w:pPr>
      <w:r>
        <w:rPr>
          <w:rFonts w:eastAsia="Calibri" w:cs="Times New Roman"/>
          <w:b w:val="false"/>
          <w:bCs w:val="false"/>
          <w:color w:val="auto"/>
          <w:kern w:val="0"/>
          <w:sz w:val="28"/>
          <w:szCs w:val="28"/>
          <w:lang w:val="ru-RU" w:eastAsia="en-US" w:bidi="ar-SA"/>
        </w:rPr>
        <w:t xml:space="preserve">В </w:t>
      </w:r>
      <w:r>
        <w:rPr>
          <w:rFonts w:eastAsia="Calibri" w:cs="Times New Roman"/>
          <w:b w:val="false"/>
          <w:bCs w:val="false"/>
          <w:color w:val="000000"/>
          <w:kern w:val="0"/>
          <w:sz w:val="28"/>
          <w:szCs w:val="28"/>
          <w:shd w:fill="auto" w:val="clear"/>
          <w:lang w:val="ru-RU" w:eastAsia="en-US" w:bidi="ar-SA"/>
        </w:rPr>
        <w:t>учреждениях дополнительного образования отрасли культуры</w:t>
      </w:r>
      <w:r>
        <w:rPr>
          <w:rFonts w:eastAsia="Calibri" w:cs="Times New Roman"/>
          <w:b w:val="false"/>
          <w:bCs w:val="false"/>
          <w:color w:val="auto"/>
          <w:kern w:val="0"/>
          <w:sz w:val="28"/>
          <w:szCs w:val="28"/>
          <w:lang w:val="ru-RU" w:eastAsia="en-US" w:bidi="ar-SA"/>
        </w:rPr>
        <w:t xml:space="preserve"> реализуется 25 дополнительных программ. Учащиеся школ искусств ежегодно становятся победителями различных Международных, Всероссийских и краевых фестивалей и конкурсов. </w:t>
      </w:r>
    </w:p>
    <w:p>
      <w:pPr>
        <w:pStyle w:val="11"/>
        <w:shd w:val="clear" w:fill="FFFFFF"/>
        <w:suppressAutoHyphens w:val="false"/>
        <w:spacing w:lineRule="auto" w:line="240" w:before="0" w:after="0"/>
        <w:ind w:firstLine="580" w:left="0" w:right="0"/>
        <w:jc w:val="both"/>
        <w:rPr>
          <w:rFonts w:eastAsia="Calibri" w:cs="Times New Roman"/>
          <w:b w:val="false"/>
          <w:bCs w:val="false"/>
          <w:color w:val="auto"/>
          <w:kern w:val="0"/>
          <w:sz w:val="28"/>
          <w:szCs w:val="28"/>
          <w:lang w:val="ru-RU" w:eastAsia="en-US" w:bidi="ar-SA"/>
        </w:rPr>
      </w:pPr>
      <w:r>
        <w:rPr>
          <w:rFonts w:eastAsia="Calibri" w:cs="Times New Roman"/>
          <w:b w:val="false"/>
          <w:bCs w:val="false"/>
          <w:color w:val="auto"/>
          <w:kern w:val="0"/>
          <w:sz w:val="28"/>
          <w:szCs w:val="28"/>
          <w:lang w:val="ru-RU" w:eastAsia="en-US" w:bidi="ar-SA"/>
        </w:rPr>
        <w:t>На рынке присутствуют субъекты частной собственности: в станице Платнировской Кореновского района вокальная студия «OverSize» обучает детей вокалу; с 2018 года на территории г. Кореновска открыло свое представительство ООО «АМАКИДС ГРУПП” (Академия ментальной арифметики для детей). Образовательная деятельность лицензирована. В г. Кореновске обучение детей осуществляют 2 квалифицированных тренера. В 2023 году обучение проходили 102 ребенка.</w:t>
      </w:r>
    </w:p>
    <w:p>
      <w:pPr>
        <w:pStyle w:val="11"/>
        <w:shd w:val="clear" w:fill="FFFFFF"/>
        <w:suppressAutoHyphens w:val="false"/>
        <w:spacing w:lineRule="auto" w:line="240" w:before="0" w:after="0"/>
        <w:ind w:firstLine="560" w:left="0" w:right="0"/>
        <w:jc w:val="both"/>
        <w:rPr/>
      </w:pPr>
      <w:r>
        <w:rPr>
          <w:rFonts w:eastAsia="Calibri" w:cs="Times New Roman"/>
          <w:b w:val="false"/>
          <w:bCs w:val="false"/>
          <w:color w:val="auto"/>
          <w:kern w:val="0"/>
          <w:sz w:val="28"/>
          <w:szCs w:val="28"/>
          <w:lang w:val="ru-RU" w:eastAsia="en-US" w:bidi="ar-SA"/>
        </w:rPr>
        <w:t>ЧУ ДПО «Бизнес-школа «Профи» -</w:t>
      </w:r>
      <w:r>
        <w:rPr>
          <w:rFonts w:eastAsia="Calibri" w:cs="Times New Roman"/>
          <w:color w:val="auto"/>
          <w:kern w:val="0"/>
          <w:sz w:val="28"/>
          <w:szCs w:val="28"/>
          <w:lang w:val="ru-RU" w:eastAsia="en-US" w:bidi="ar-SA"/>
        </w:rPr>
        <w:t xml:space="preserve"> развивающаяся школа дополнительного образования. Одним из главных преимуществ школы является то, что здесь могут заниматься не только дети, но и взрослые. Учреждение имеет более 30 образовательных и развивающих направлений, число которых непрерывно возрастает: развивающие программы для детей с 3-х лет, программа интеллектуального развития, Бизнес-лагерь, иностранные языки, подготовка к экзаменам и ВПР, репетиторство по всем предметам, разговорный клуб с носителем английского языка, Ораторское искусство, Детская школа лидерства, диагностика профориентации, тренинги для подростков, танцевальные направления, мастер-классы по живописи, подготовка к школе, логопед, психолог, группы продленного дня и т. д.</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right="0"/>
        <w:jc w:val="both"/>
        <w:textAlignment w:val="auto"/>
        <w:rPr>
          <w:rFonts w:ascii="Times New Roman" w:hAnsi="Times New Roman" w:cs="Times New Roman"/>
          <w:b w:val="false"/>
          <w:bCs w:val="false"/>
          <w:color w:val="000000"/>
          <w:sz w:val="28"/>
          <w:szCs w:val="24"/>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11"/>
        <w:shd w:val="clear" w:fill="FFFFFF"/>
        <w:suppressAutoHyphens w:val="false"/>
        <w:spacing w:lineRule="auto" w:line="240" w:before="0" w:after="0"/>
        <w:ind w:firstLine="560" w:left="0" w:right="0"/>
        <w:jc w:val="both"/>
        <w:rPr/>
      </w:pPr>
      <w:r>
        <w:rPr>
          <w:rFonts w:eastAsia="Calibri" w:cs="Times New Roman"/>
          <w:b/>
          <w:bCs/>
          <w:color w:val="auto"/>
          <w:kern w:val="0"/>
          <w:sz w:val="28"/>
          <w:szCs w:val="28"/>
          <w:lang w:val="ru-RU" w:eastAsia="en-US" w:bidi="ar-SA"/>
        </w:rPr>
        <w:t xml:space="preserve">- Рынок услуг дошкольного образования. </w:t>
      </w:r>
      <w:r>
        <w:rPr>
          <w:rFonts w:eastAsia="Calibri" w:cs="Times New Roman"/>
          <w:color w:val="auto"/>
          <w:kern w:val="0"/>
          <w:sz w:val="28"/>
          <w:szCs w:val="28"/>
          <w:lang w:val="ru-RU" w:eastAsia="en-US" w:bidi="ar-SA"/>
        </w:rPr>
        <w:t xml:space="preserve">В 2024 году в указанной сфере услуг осуществляли деятельность 21 муниципальная организации и 1 группа дошкольного образования при школе в х.Анапском, Количество </w:t>
      </w:r>
      <w:r>
        <w:rPr>
          <w:rFonts w:eastAsia="Calibri" w:cs="Times New Roman"/>
          <w:b w:val="false"/>
          <w:bCs w:val="false"/>
          <w:color w:val="auto"/>
          <w:kern w:val="0"/>
          <w:sz w:val="28"/>
          <w:szCs w:val="28"/>
          <w:lang w:val="ru-RU" w:eastAsia="en-US" w:bidi="ar-SA"/>
        </w:rPr>
        <w:t xml:space="preserve">мест </w:t>
      </w:r>
      <w:r>
        <w:rPr>
          <w:rFonts w:eastAsia="Calibri" w:cs="Times New Roman"/>
          <w:color w:val="auto"/>
          <w:kern w:val="0"/>
          <w:sz w:val="28"/>
          <w:szCs w:val="28"/>
          <w:lang w:val="ru-RU" w:eastAsia="en-US" w:bidi="ar-SA"/>
        </w:rPr>
        <w:t xml:space="preserve">в учреждениях дошкольного образования района — </w:t>
      </w:r>
      <w:r>
        <w:rPr>
          <w:rFonts w:eastAsia="Calibri" w:cs="Times New Roman"/>
          <w:b w:val="false"/>
          <w:bCs w:val="false"/>
          <w:color w:val="auto"/>
          <w:kern w:val="0"/>
          <w:sz w:val="28"/>
          <w:szCs w:val="28"/>
          <w:lang w:val="ru-RU" w:eastAsia="en-US" w:bidi="ar-SA"/>
        </w:rPr>
        <w:t>3485.</w:t>
      </w:r>
      <w:r>
        <w:rPr>
          <w:rFonts w:eastAsia="Calibri" w:cs="Times New Roman"/>
          <w:color w:val="auto"/>
          <w:kern w:val="0"/>
          <w:sz w:val="28"/>
          <w:szCs w:val="28"/>
          <w:lang w:val="ru-RU" w:eastAsia="en-US" w:bidi="ar-SA"/>
        </w:rPr>
        <w:t xml:space="preserve"> </w:t>
      </w:r>
    </w:p>
    <w:p>
      <w:pPr>
        <w:pStyle w:val="Normal"/>
        <w:suppressAutoHyphens w:val="false"/>
        <w:spacing w:lineRule="auto" w:line="240" w:before="0" w:after="0"/>
        <w:ind w:firstLine="709" w:right="0"/>
        <w:jc w:val="both"/>
        <w:rPr/>
      </w:pPr>
      <w:r>
        <w:rPr>
          <w:rFonts w:eastAsia="Calibri" w:cs="Times New Roman" w:ascii="Times New Roman" w:hAnsi="Times New Roman"/>
          <w:color w:val="000000"/>
          <w:kern w:val="0"/>
          <w:sz w:val="28"/>
          <w:szCs w:val="28"/>
          <w:shd w:fill="auto" w:val="clear"/>
          <w:lang w:val="ru-RU" w:eastAsia="en-US" w:bidi="ar-SA"/>
        </w:rPr>
        <w:t xml:space="preserve">Численность детей дошкольного возраста 1-6 лет в Кореновском районе — 5896 человек. Количество детей, получающих услуги дошкольного образования, </w:t>
      </w:r>
      <w:r>
        <w:rPr>
          <w:rFonts w:eastAsia="Calibri" w:cs="Times New Roman" w:ascii="Times New Roman" w:hAnsi="Times New Roman"/>
          <w:b w:val="false"/>
          <w:bCs w:val="false"/>
          <w:color w:val="000000"/>
          <w:kern w:val="0"/>
          <w:sz w:val="28"/>
          <w:szCs w:val="28"/>
          <w:shd w:fill="auto" w:val="clear"/>
          <w:lang w:val="ru-RU" w:eastAsia="en-US" w:bidi="ar-SA"/>
        </w:rPr>
        <w:t xml:space="preserve">- 3100 детей, </w:t>
      </w:r>
      <w:r>
        <w:rPr>
          <w:rFonts w:eastAsia="Calibri" w:cs="Times New Roman" w:ascii="Times New Roman" w:hAnsi="Times New Roman"/>
          <w:color w:val="000000"/>
          <w:kern w:val="0"/>
          <w:sz w:val="28"/>
          <w:szCs w:val="28"/>
          <w:shd w:fill="auto" w:val="clear"/>
          <w:lang w:val="ru-RU" w:eastAsia="en-US" w:bidi="ar-SA"/>
        </w:rPr>
        <w:t>52,5 % об общего количества детей.</w:t>
      </w:r>
    </w:p>
    <w:p>
      <w:pPr>
        <w:pStyle w:val="Normal"/>
        <w:suppressAutoHyphens w:val="false"/>
        <w:spacing w:lineRule="auto" w:line="240" w:before="0" w:after="0"/>
        <w:ind w:firstLine="709" w:right="0"/>
        <w:jc w:val="both"/>
        <w:rPr>
          <w:rFonts w:ascii="Times New Roman" w:hAnsi="Times New Roman" w:eastAsia="Calibri" w:cs="Times New Roman"/>
          <w:color w:val="auto"/>
          <w:kern w:val="0"/>
          <w:sz w:val="28"/>
          <w:szCs w:val="28"/>
          <w:lang w:val="ru-RU" w:eastAsia="en-US" w:bidi="ar-SA"/>
        </w:rPr>
      </w:pPr>
      <w:r>
        <w:rPr>
          <w:rFonts w:eastAsia="Calibri" w:cs="Times New Roman" w:ascii="Times New Roman" w:hAnsi="Times New Roman"/>
          <w:color w:val="auto"/>
          <w:kern w:val="0"/>
          <w:sz w:val="28"/>
          <w:szCs w:val="28"/>
          <w:lang w:val="ru-RU" w:eastAsia="en-US" w:bidi="ar-SA"/>
        </w:rPr>
        <w:t>Все дошкольные образовательные учреждения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firstLine="709" w:right="0"/>
        <w:jc w:val="both"/>
        <w:rPr/>
      </w:pPr>
      <w:r>
        <w:rPr>
          <w:rFonts w:eastAsia="Calibri" w:cs="Times New Roman" w:ascii="Times New Roman" w:hAnsi="Times New Roman"/>
          <w:color w:val="auto"/>
          <w:kern w:val="0"/>
          <w:sz w:val="28"/>
          <w:szCs w:val="28"/>
          <w:lang w:val="ru-RU" w:eastAsia="en-US" w:bidi="ar-SA"/>
        </w:rPr>
        <w:t xml:space="preserve">Для обеспечения наиболее полного охвата детей дошкольным образованием продолжается работа по организации вариативных форм дошкольного образования. </w:t>
      </w:r>
      <w:r>
        <w:rPr>
          <w:rFonts w:eastAsia="Calibri" w:cs="Times New Roman" w:ascii="Times New Roman" w:hAnsi="Times New Roman"/>
          <w:color w:val="000000"/>
          <w:kern w:val="0"/>
          <w:sz w:val="28"/>
          <w:szCs w:val="28"/>
          <w:shd w:fill="auto" w:val="clear"/>
          <w:lang w:val="ru-RU" w:eastAsia="en-US" w:bidi="ar-SA"/>
        </w:rPr>
        <w:t>В ДОУ района функционируют 25 групп кратковременного пребывания разной направленности (адаптационные, развития и подготовки детей к обучению в школе), в которых воспитывается 104 ребенка дошкольного возраста, 15 групп семейного воспитания общеразвивающей направленности (47 детей).</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Основные ф</w:t>
      </w:r>
      <w:r>
        <w:rPr>
          <w:rFonts w:cs="Times New Roman" w:ascii="Times New Roman" w:hAnsi="Times New Roman"/>
          <w:b w:val="false"/>
          <w:bCs w:val="false"/>
          <w:color w:val="000000"/>
          <w:sz w:val="28"/>
          <w:szCs w:val="24"/>
        </w:rPr>
        <w:t>акторы, ограничивающие конкуренцию на рынке:</w:t>
      </w:r>
    </w:p>
    <w:p>
      <w:pPr>
        <w:pStyle w:val="Normal"/>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0"/>
          <w:sz w:val="28"/>
          <w:szCs w:val="20"/>
          <w:lang w:eastAsia="ru-RU"/>
        </w:rPr>
        <w:t>- трудности с получением лицензии на образовательную деятельность в связи с дефицитом помещений, соответствующих современным санитарным и противопожарным требованиям к организации детских садов;</w:t>
      </w:r>
      <w:r>
        <w:rPr>
          <w:rFonts w:cs="Times New Roman" w:ascii="Times New Roman" w:hAnsi="Times New Roman"/>
          <w:b w:val="false"/>
          <w:bCs w:val="false"/>
          <w:color w:val="000000"/>
          <w:sz w:val="28"/>
          <w:szCs w:val="24"/>
        </w:rPr>
        <w:t xml:space="preserve"> </w:t>
      </w:r>
    </w:p>
    <w:p>
      <w:pPr>
        <w:pStyle w:val="Normal"/>
        <w:suppressAutoHyphens w:val="false"/>
        <w:spacing w:lineRule="auto" w:line="240" w:before="0" w:after="0"/>
        <w:ind w:firstLine="708" w:right="0"/>
        <w:jc w:val="both"/>
        <w:textAlignment w:val="auto"/>
        <w:rPr>
          <w:rFonts w:ascii="Times New Roman" w:hAnsi="Times New Roman" w:cs="Times New Roman"/>
          <w:b w:val="false"/>
          <w:bCs w:val="false"/>
          <w:color w:val="000000"/>
          <w:sz w:val="28"/>
          <w:szCs w:val="24"/>
        </w:rPr>
      </w:pPr>
      <w:r>
        <w:rPr>
          <w:rFonts w:cs="Times New Roman" w:ascii="Times New Roman" w:hAnsi="Times New Roman"/>
          <w:b w:val="false"/>
          <w:bCs w:val="false"/>
          <w:color w:val="000000"/>
          <w:sz w:val="28"/>
          <w:szCs w:val="24"/>
        </w:rPr>
        <w:t>- недостаточность собственных средств у предпринимателей и дороговизна кредитов, а также высокие затраты (аренда, коммунальные услуги, содержание помещений, оборудования и территории, расходные материалы и пр.);</w:t>
      </w:r>
    </w:p>
    <w:p>
      <w:pPr>
        <w:pStyle w:val="Normal"/>
        <w:suppressAutoHyphens w:val="false"/>
        <w:spacing w:lineRule="auto" w:line="240" w:before="0" w:after="0"/>
        <w:ind w:firstLine="708" w:right="0"/>
        <w:jc w:val="both"/>
        <w:textAlignment w:val="auto"/>
        <w:rPr>
          <w:rFonts w:ascii="Times New Roman" w:hAnsi="Times New Roman" w:cs="Times New Roman"/>
          <w:b w:val="false"/>
          <w:bCs w:val="false"/>
          <w:color w:val="000000"/>
          <w:sz w:val="28"/>
          <w:szCs w:val="24"/>
        </w:rPr>
      </w:pPr>
      <w:r>
        <w:rPr>
          <w:rFonts w:cs="Times New Roman" w:ascii="Times New Roman" w:hAnsi="Times New Roman"/>
          <w:b w:val="false"/>
          <w:bCs w:val="false"/>
          <w:color w:val="000000"/>
          <w:sz w:val="28"/>
          <w:szCs w:val="24"/>
        </w:rPr>
        <w:t>- недостаточность платежеспособного спроса.</w:t>
      </w:r>
    </w:p>
    <w:p>
      <w:pPr>
        <w:pStyle w:val="Normal"/>
        <w:suppressAutoHyphens w:val="false"/>
        <w:spacing w:lineRule="auto" w:line="240" w:before="0" w:after="0"/>
        <w:ind w:firstLine="708" w:right="0"/>
        <w:jc w:val="both"/>
        <w:textAlignment w:val="auto"/>
        <w:rPr/>
      </w:pPr>
      <w:r>
        <w:rPr>
          <w:rFonts w:eastAsia="SimSun" w:cs="Times New Roman" w:ascii="Times New Roman" w:hAnsi="Times New Roman"/>
          <w:b w:val="false"/>
          <w:bCs w:val="false"/>
          <w:color w:val="000000"/>
          <w:kern w:val="2"/>
          <w:sz w:val="28"/>
          <w:szCs w:val="24"/>
          <w:lang w:val="ru-RU" w:eastAsia="ar-SA" w:bidi="ar-SA"/>
        </w:rPr>
        <w:t>Д</w:t>
      </w:r>
      <w:r>
        <w:rPr>
          <w:rFonts w:cs="Times New Roman" w:ascii="Times New Roman" w:hAnsi="Times New Roman"/>
          <w:b w:val="false"/>
          <w:bCs w:val="false"/>
          <w:color w:val="000000"/>
          <w:sz w:val="28"/>
          <w:szCs w:val="24"/>
        </w:rPr>
        <w:t>еятельность в данной сфере малопривлекательн</w:t>
      </w:r>
      <w:r>
        <w:rPr>
          <w:rFonts w:eastAsia="SimSun" w:cs="Times New Roman" w:ascii="Times New Roman" w:hAnsi="Times New Roman"/>
          <w:b w:val="false"/>
          <w:bCs w:val="false"/>
          <w:color w:val="000000"/>
          <w:kern w:val="2"/>
          <w:sz w:val="28"/>
          <w:szCs w:val="24"/>
          <w:lang w:val="ru-RU" w:eastAsia="ar-SA" w:bidi="ar-SA"/>
        </w:rPr>
        <w:t>а</w:t>
      </w:r>
      <w:r>
        <w:rPr>
          <w:rFonts w:cs="Times New Roman" w:ascii="Times New Roman" w:hAnsi="Times New Roman"/>
          <w:b w:val="false"/>
          <w:bCs w:val="false"/>
          <w:color w:val="000000"/>
          <w:sz w:val="28"/>
          <w:szCs w:val="24"/>
        </w:rPr>
        <w:t xml:space="preserve"> для предпринимателей </w:t>
      </w:r>
      <w:r>
        <w:rPr>
          <w:rFonts w:eastAsia="SimSun" w:cs="Times New Roman" w:ascii="Times New Roman" w:hAnsi="Times New Roman"/>
          <w:b w:val="false"/>
          <w:bCs w:val="false"/>
          <w:color w:val="000000"/>
          <w:kern w:val="2"/>
          <w:sz w:val="28"/>
          <w:szCs w:val="24"/>
          <w:lang w:val="ru-RU" w:eastAsia="ar-SA" w:bidi="ar-SA"/>
        </w:rPr>
        <w:t>из-за</w:t>
      </w:r>
      <w:r>
        <w:rPr>
          <w:rFonts w:cs="Times New Roman" w:ascii="Times New Roman" w:hAnsi="Times New Roman"/>
          <w:b w:val="false"/>
          <w:bCs w:val="false"/>
          <w:color w:val="000000"/>
          <w:sz w:val="28"/>
          <w:szCs w:val="24"/>
        </w:rPr>
        <w:t xml:space="preserve"> большой зависимост</w:t>
      </w:r>
      <w:r>
        <w:rPr>
          <w:rFonts w:eastAsia="SimSun" w:cs="Times New Roman" w:ascii="Times New Roman" w:hAnsi="Times New Roman"/>
          <w:b w:val="false"/>
          <w:bCs w:val="false"/>
          <w:color w:val="000000"/>
          <w:kern w:val="2"/>
          <w:sz w:val="28"/>
          <w:szCs w:val="24"/>
          <w:lang w:val="ru-RU" w:eastAsia="ar-SA" w:bidi="ar-SA"/>
        </w:rPr>
        <w:t>и</w:t>
      </w:r>
      <w:r>
        <w:rPr>
          <w:rFonts w:cs="Times New Roman" w:ascii="Times New Roman" w:hAnsi="Times New Roman"/>
          <w:b w:val="false"/>
          <w:bCs w:val="false"/>
          <w:color w:val="000000"/>
          <w:sz w:val="28"/>
          <w:szCs w:val="24"/>
        </w:rPr>
        <w:t xml:space="preserve"> от своевременности прохождения многочисленных регламентов и процедур.</w:t>
      </w:r>
    </w:p>
    <w:p>
      <w:pPr>
        <w:pStyle w:val="Normal"/>
        <w:suppressAutoHyphens w:val="false"/>
        <w:spacing w:lineRule="auto" w:line="240" w:before="0" w:after="0"/>
        <w:ind w:firstLine="709" w:right="0"/>
        <w:jc w:val="both"/>
        <w:rPr/>
      </w:pPr>
      <w:r>
        <w:rPr>
          <w:rFonts w:eastAsia="SimSun" w:cs="Times New Roman" w:ascii="Times New Roman" w:hAnsi="Times New Roman"/>
          <w:b/>
          <w:bCs/>
          <w:color w:val="000000"/>
          <w:kern w:val="2"/>
          <w:sz w:val="28"/>
          <w:szCs w:val="24"/>
          <w:lang w:val="ru-RU" w:eastAsia="ar-SA" w:bidi="ar-SA"/>
        </w:rPr>
        <w:t>- Рынок услуг общего образования.</w:t>
      </w:r>
      <w:r>
        <w:rPr>
          <w:rFonts w:eastAsia="SimSun" w:cs="Times New Roman" w:ascii="Times New Roman" w:hAnsi="Times New Roman"/>
          <w:b w:val="false"/>
          <w:bCs w:val="false"/>
          <w:color w:val="000000"/>
          <w:kern w:val="2"/>
          <w:sz w:val="28"/>
          <w:szCs w:val="24"/>
          <w:lang w:val="ru-RU" w:eastAsia="ar-SA" w:bidi="ar-SA"/>
        </w:rPr>
        <w:t xml:space="preserve"> В 2024 году в указанной сфере услуг осуществляли деятельность 22 муниципальных организации. </w:t>
      </w:r>
      <w:r>
        <w:rPr>
          <w:rFonts w:eastAsia="SimSun" w:cs="Times New Roman" w:ascii="Times New Roman" w:hAnsi="Times New Roman"/>
          <w:b w:val="false"/>
          <w:bCs w:val="false"/>
          <w:color w:val="000000"/>
          <w:kern w:val="2"/>
          <w:sz w:val="28"/>
          <w:szCs w:val="24"/>
          <w:shd w:fill="auto" w:val="clear"/>
          <w:lang w:val="ru-RU" w:eastAsia="ar-SA" w:bidi="ar-SA"/>
        </w:rPr>
        <w:t>К</w:t>
      </w:r>
      <w:r>
        <w:rPr>
          <w:rFonts w:eastAsia="SimSun" w:cs="Times New Roman" w:ascii="Times New Roman" w:hAnsi="Times New Roman"/>
          <w:b w:val="false"/>
          <w:bCs w:val="false"/>
          <w:color w:val="000000"/>
          <w:kern w:val="2"/>
          <w:sz w:val="28"/>
          <w:szCs w:val="24"/>
          <w:lang w:val="ru-RU" w:eastAsia="ar-SA" w:bidi="ar-SA"/>
        </w:rPr>
        <w:t>оличество детей, получающих услуги общего образования, - 9863 учащихся. Все учреждения общего образования муниципального образования Кореновский район оказывают  дополнительные развивающие платные  услуги.</w:t>
      </w:r>
    </w:p>
    <w:p>
      <w:pPr>
        <w:pStyle w:val="Normal"/>
        <w:suppressAutoHyphens w:val="false"/>
        <w:spacing w:lineRule="auto" w:line="240" w:before="0" w:after="0"/>
        <w:ind w:firstLine="731" w:right="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В рамках проекта «Современная школа» при поддержке федерального бюджета в районе созданы 17 Центров образования цифрового и гуманитарного профилей «Точка роста» на базе школ района.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708" w:right="0"/>
        <w:jc w:val="both"/>
        <w:rPr/>
      </w:pPr>
      <w:r>
        <w:rPr>
          <w:rFonts w:eastAsia="SimSun" w:cs="Times New Roman" w:ascii="Times New Roman" w:hAnsi="Times New Roman"/>
          <w:b w:val="false"/>
          <w:bCs w:val="false"/>
          <w:i w:val="false"/>
          <w:caps w:val="false"/>
          <w:smallCaps w:val="false"/>
          <w:color w:val="000000"/>
          <w:spacing w:val="0"/>
          <w:kern w:val="2"/>
          <w:sz w:val="28"/>
          <w:szCs w:val="24"/>
          <w:lang w:val="ru-RU" w:eastAsia="ar-SA" w:bidi="ar-SA"/>
        </w:rPr>
        <w:t xml:space="preserve">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обучающихся. В краевую экспериментальную группу вошли 3 школы нашего района: школа № 4, № 5, № 25. Участники проекта - более 100 (ста) обучающихся 6 -10 классов, которые уже прошли онлайн-диагностику по выявлению уровня владения ключевыми навыками и интересами. Итог - формирование индивидуального маршрута получения профессии. </w:t>
      </w:r>
    </w:p>
    <w:p>
      <w:pPr>
        <w:pStyle w:val="Normal"/>
        <w:suppressAutoHyphens w:val="false"/>
        <w:spacing w:lineRule="auto" w:line="240" w:before="0" w:after="0"/>
        <w:ind w:firstLine="709" w:right="-1"/>
        <w:jc w:val="both"/>
        <w:textAlignment w:val="auto"/>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Факторы, ограничивающие конкуренцию на рынке:</w:t>
      </w:r>
    </w:p>
    <w:p>
      <w:pPr>
        <w:pStyle w:val="Normal"/>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собственных средств у предпринимателей и дороговизна кредитов;</w:t>
      </w:r>
    </w:p>
    <w:p>
      <w:pPr>
        <w:pStyle w:val="Normal"/>
        <w:tabs>
          <w:tab w:val="clear" w:pos="708"/>
          <w:tab w:val="left" w:pos="709" w:leader="none"/>
        </w:tabs>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нехватка помещений, отвечающих установленным требованиям;</w:t>
      </w:r>
    </w:p>
    <w:p>
      <w:pPr>
        <w:pStyle w:val="Normal"/>
        <w:tabs>
          <w:tab w:val="clear" w:pos="708"/>
          <w:tab w:val="left" w:pos="709" w:leader="none"/>
        </w:tabs>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высокие затраты на содержание помещений (аренда, коммунальные услуги, содержание помещений, оборудования и территории, расходные материалы и пр.);</w:t>
      </w:r>
    </w:p>
    <w:p>
      <w:pPr>
        <w:pStyle w:val="Normal"/>
        <w:tabs>
          <w:tab w:val="clear" w:pos="708"/>
          <w:tab w:val="left" w:pos="709" w:leader="none"/>
        </w:tabs>
        <w:spacing w:lineRule="auto" w:line="240" w:before="0" w:after="0"/>
        <w:jc w:val="both"/>
        <w:rPr>
          <w:rFonts w:ascii="Times New Roman" w:hAnsi="Times New Roman" w:eastAsia="SimSun" w:cs="Times New Roman"/>
          <w:b w:val="false"/>
          <w:bCs w:val="false"/>
          <w:color w:val="000000"/>
          <w:kern w:val="2"/>
          <w:sz w:val="28"/>
          <w:szCs w:val="24"/>
          <w:lang w:val="ru-RU" w:eastAsia="ar-SA" w:bidi="ar-SA"/>
        </w:rPr>
      </w:pPr>
      <w:r>
        <w:rPr>
          <w:rFonts w:eastAsia="SimSun" w:cs="Times New Roman" w:ascii="Times New Roman" w:hAnsi="Times New Roman"/>
          <w:b w:val="false"/>
          <w:bCs w:val="false"/>
          <w:color w:val="000000"/>
          <w:kern w:val="2"/>
          <w:sz w:val="28"/>
          <w:szCs w:val="24"/>
          <w:lang w:val="ru-RU" w:eastAsia="ar-SA" w:bidi="ar-SA"/>
        </w:rPr>
        <w:tab/>
        <w:t>- недостаточность платежеспособного спроса.</w:t>
      </w:r>
    </w:p>
    <w:p>
      <w:pPr>
        <w:pStyle w:val="Normal"/>
        <w:suppressAutoHyphens w:val="false"/>
        <w:spacing w:lineRule="auto" w:line="240" w:before="0" w:after="0"/>
        <w:ind w:firstLine="708" w:right="0"/>
        <w:jc w:val="both"/>
        <w:rPr/>
      </w:pPr>
      <w:r>
        <w:rPr>
          <w:rFonts w:eastAsia="SimSun" w:cs="Times New Roman" w:ascii="Times New Roman" w:hAnsi="Times New Roman"/>
          <w:b/>
          <w:bCs/>
          <w:i w:val="false"/>
          <w:caps w:val="false"/>
          <w:smallCaps w:val="false"/>
          <w:color w:val="000000"/>
          <w:spacing w:val="0"/>
          <w:kern w:val="2"/>
          <w:sz w:val="28"/>
          <w:szCs w:val="24"/>
          <w:lang w:val="ru-RU" w:eastAsia="ar-SA" w:bidi="ar-SA"/>
        </w:rPr>
        <w:t xml:space="preserve">- </w:t>
      </w:r>
      <w:r>
        <w:rPr>
          <w:rFonts w:eastAsia="SimSun" w:cs="Times New Roman" w:ascii="Times New Roman" w:hAnsi="Times New Roman"/>
          <w:b/>
          <w:bCs/>
          <w:color w:val="000000"/>
          <w:kern w:val="2"/>
          <w:sz w:val="28"/>
          <w:szCs w:val="24"/>
          <w:lang w:val="ru-RU" w:eastAsia="ar-SA" w:bidi="ar-SA"/>
        </w:rPr>
        <w:t>Рынок дополнительного профессионального образования.</w:t>
      </w:r>
      <w:r>
        <w:rPr>
          <w:rFonts w:eastAsia="SimSun" w:cs="Times New Roman" w:ascii="Times New Roman" w:hAnsi="Times New Roman"/>
          <w:b w:val="false"/>
          <w:bCs w:val="false"/>
          <w:color w:val="000000"/>
          <w:kern w:val="2"/>
          <w:sz w:val="28"/>
          <w:szCs w:val="24"/>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В Кореновском районе состав предлагаемых услуг дополнительного образования следующий: охрана труда, обслуживание котельных, рабочие специальности (сварщики, электрики, получение дополнительных категорий водителями и т. д.). </w:t>
      </w:r>
    </w:p>
    <w:p>
      <w:pPr>
        <w:pStyle w:val="ListParagraph"/>
        <w:widowControl w:val="false"/>
        <w:suppressAutoHyphens w:val="false"/>
        <w:bidi w:val="0"/>
        <w:spacing w:lineRule="auto" w:line="240" w:before="0" w:after="0"/>
        <w:ind w:left="0" w:right="0"/>
        <w:contextualSpacing/>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ЧУ ДПО Бизнес-школа «Профи» - развивающаяся школа дополнительного образования. Для взрослых работает «Школа для родителей», иностранные языки, ораторское мастерство, мастер-классы по живописи, тренинги и занятия йогой. Учреждение участвует в национальном проекте по повышению квалификации и профессиональной переподготовки кадров для категорий: женщины в декрете и «серебряный» возраст. ЧУ ДПО «Бизнес-школа «Профи» - Член союза Торгово-промышленной палаты Ставропольского края и членом общественной организации «Опора России».</w:t>
      </w:r>
    </w:p>
    <w:p>
      <w:pPr>
        <w:pStyle w:val="BodyText"/>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Кореновским центром занятости в 2024 году организовано  профессиональное обучение 69 безработных граждан, из них: 2 человека – многодетные родители; 1 – одинокий родитель; 22 - жители сельской местности; 3 инвалида.</w:t>
      </w:r>
    </w:p>
    <w:p>
      <w:pPr>
        <w:pStyle w:val="Normal"/>
        <w:suppressAutoHyphens w:val="true"/>
        <w:spacing w:lineRule="auto" w:line="240" w:before="0" w:after="0"/>
        <w:ind w:firstLine="694" w:left="14"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Безработные граждане направлены в учебные заведения для получения следующих специальностей: младший воспитатель, охранник, кассир, инструктор, водитель автомобиля; повысили квалификацию по профессии: кладовщик, менеджер, специалист по закупкам, специалист по кадрам, бухгалтер, программист. </w:t>
      </w:r>
    </w:p>
    <w:p>
      <w:pPr>
        <w:pStyle w:val="12"/>
        <w:suppressAutoHyphens w:val="true"/>
        <w:spacing w:lineRule="auto" w:line="240" w:before="0" w:after="0"/>
        <w:ind w:firstLine="708" w:left="0" w:right="96"/>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Сумма средств, израсходованных на профессиональное обучение, составила 382,3 тыс. рублей.</w:t>
      </w:r>
    </w:p>
    <w:p>
      <w:pPr>
        <w:pStyle w:val="BodyText"/>
        <w:suppressAutoHyphens w:val="false"/>
        <w:spacing w:lineRule="auto" w:line="240" w:before="0" w:after="0"/>
        <w:ind w:firstLine="709" w:right="0"/>
        <w:jc w:val="both"/>
        <w:rPr/>
      </w:pPr>
      <w:r>
        <w:rPr>
          <w:rFonts w:eastAsia="Times New Roman" w:cs="Times New Roman" w:ascii="Times New Roman" w:hAnsi="Times New Roman"/>
          <w:b w:val="false"/>
          <w:bCs w:val="false"/>
          <w:color w:val="000000"/>
          <w:kern w:val="2"/>
          <w:sz w:val="28"/>
          <w:szCs w:val="24"/>
          <w:shd w:fill="auto" w:val="clear"/>
          <w:lang w:val="ru-RU" w:eastAsia="ar-SA" w:bidi="ar-SA"/>
        </w:rPr>
        <w:t xml:space="preserve"> </w:t>
      </w:r>
      <w:r>
        <w:rPr>
          <w:rFonts w:eastAsia="SimSun" w:cs="Times New Roman" w:ascii="Times New Roman" w:hAnsi="Times New Roman"/>
          <w:b w:val="false"/>
          <w:bCs w:val="false"/>
          <w:color w:val="000000"/>
          <w:kern w:val="2"/>
          <w:sz w:val="28"/>
          <w:szCs w:val="24"/>
          <w:shd w:fill="auto" w:val="clear"/>
          <w:lang w:val="ru-RU" w:eastAsia="ar-SA" w:bidi="ar-SA"/>
        </w:rPr>
        <w:t xml:space="preserve">С целью информирования об образовательных услугах предоставляемых учебными заведениями среднего и высшего профессионального образования Краснодарского края и оказания помощи в выборе будущей профессии, проведена профориентационная работа с учениками старших классов школ Кореновского района. Профориентационные услуги получили 1626 учащихся, их них, индивидуальное консультирование 467 учащихся и групповое консультирование 1159 учащихся (с использованием мобильного центра занятости). </w:t>
      </w:r>
    </w:p>
    <w:p>
      <w:pPr>
        <w:pStyle w:val="BodyText"/>
        <w:suppressAutoHyphens w:val="false"/>
        <w:spacing w:lineRule="auto" w:line="240" w:before="0" w:after="0"/>
        <w:ind w:firstLine="709" w:right="0"/>
        <w:jc w:val="both"/>
        <w:rPr/>
      </w:pPr>
      <w:r>
        <w:rPr>
          <w:rFonts w:eastAsia="SimSun" w:cs="Times New Roman" w:ascii="Times New Roman" w:hAnsi="Times New Roman"/>
          <w:b w:val="false"/>
          <w:bCs w:val="false"/>
          <w:color w:val="000000"/>
          <w:kern w:val="2"/>
          <w:sz w:val="28"/>
          <w:szCs w:val="24"/>
          <w:shd w:fill="auto" w:val="clear"/>
          <w:lang w:val="ru-RU" w:eastAsia="ar-SA" w:bidi="ar-SA"/>
        </w:rPr>
        <w:t>- ЧОУ «</w:t>
      </w:r>
      <w:r>
        <w:rPr>
          <w:rStyle w:val="Style18"/>
          <w:rFonts w:eastAsia="SimSun" w:cs="Times New Roman" w:ascii="Times New Roman" w:hAnsi="Times New Roman"/>
          <w:b w:val="false"/>
          <w:bCs w:val="false"/>
          <w:color w:val="000000"/>
          <w:kern w:val="2"/>
          <w:sz w:val="28"/>
          <w:szCs w:val="24"/>
          <w:shd w:fill="auto" w:val="clear"/>
          <w:lang w:val="ru-RU" w:eastAsia="ar-SA" w:bidi="ar-SA"/>
        </w:rPr>
        <w:t>Учебный центр «Кореновский» оказывает образовательные услуги в качестве дополнительного образования руководителей и специалистов предприятий, учреждений и организаций всех форм собственности в области охраны труда и промышленной безопасности опасных производственных объектов, а также ведёт профессиональную подготовку рабочих начального уровня и дополнительного профессионального образования.</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 xml:space="preserve">Учебный центр  - член некоммерческого партнёрства «Национальное объединение организаций в области безопасности и охраны труда». </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На территории района активно работают такие участники рынка дополнительного профессионального образования как: ЧОУ ДПО УЦ «Талисман», ГБ ПОУ КК «Кореновский политехнический техникум», ООО «Сахарник».</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 xml:space="preserve">Автошколы ПОУ «Кореновская АШ ДОСААФ России» и ООО «Шанс и С» осуществляют подготовку водителей транспортных средств. </w:t>
      </w:r>
    </w:p>
    <w:p>
      <w:pPr>
        <w:pStyle w:val="BodyText"/>
        <w:suppressAutoHyphens w:val="false"/>
        <w:spacing w:lineRule="auto" w:line="240" w:before="0" w:after="0"/>
        <w:ind w:firstLine="709" w:right="0"/>
        <w:jc w:val="both"/>
        <w:rPr/>
      </w:pPr>
      <w:r>
        <w:rPr>
          <w:rStyle w:val="Style18"/>
          <w:rFonts w:eastAsia="SimSun" w:cs="Times New Roman" w:ascii="Times New Roman" w:hAnsi="Times New Roman"/>
          <w:b w:val="false"/>
          <w:bCs w:val="false"/>
          <w:color w:val="000000"/>
          <w:kern w:val="2"/>
          <w:sz w:val="28"/>
          <w:szCs w:val="24"/>
          <w:shd w:fill="auto" w:val="clear"/>
          <w:lang w:val="ru-RU" w:eastAsia="ar-SA" w:bidi="ar-SA"/>
        </w:rPr>
        <w:t xml:space="preserve">Дополнительное образование и повышение квалификации востребовано в профессиональной деятельности многих специалистов и проводится на базе ВУЗов РФ. </w:t>
      </w:r>
      <w:r>
        <w:rPr>
          <w:rFonts w:eastAsia="SimSun" w:cs="Times New Roman" w:ascii="Times New Roman" w:hAnsi="Times New Roman"/>
          <w:b w:val="false"/>
          <w:bCs w:val="false"/>
          <w:color w:val="000000"/>
          <w:kern w:val="2"/>
          <w:sz w:val="28"/>
          <w:szCs w:val="24"/>
          <w:shd w:fill="auto" w:val="clear"/>
          <w:lang w:val="ru-RU" w:eastAsia="ar-SA" w:bidi="ar-SA"/>
        </w:rPr>
        <w:t>Использование дистанционных технологий позволяет успешно интегрировать обучение в свой привычный образ жизни, экономить деньги, время и силы, поскольку освоение программы проходит без личного посещения образовательной организации и не имеет сопутствующих расходов на образование, в некоторых случаях – на проживание и питание. Доля услуг дополнительного профессионального образования, оказанных (выполненных) организациями частной формы собственности, в муниципальном образовании Кореновский район составляет 83,3%.</w:t>
      </w:r>
    </w:p>
    <w:p>
      <w:pPr>
        <w:pStyle w:val="Normal"/>
        <w:suppressAutoHyphens w:val="false"/>
        <w:spacing w:lineRule="auto" w:line="240" w:before="0" w:after="0"/>
        <w:ind w:firstLine="709" w:right="0"/>
        <w:jc w:val="both"/>
        <w:rPr/>
      </w:pPr>
      <w:r>
        <w:rPr>
          <w:rFonts w:eastAsia="SimSun" w:cs="Times New Roman" w:ascii="Times New Roman" w:hAnsi="Times New Roman"/>
          <w:b/>
          <w:bCs/>
          <w:color w:val="000000"/>
          <w:kern w:val="2"/>
          <w:sz w:val="28"/>
          <w:szCs w:val="24"/>
          <w:shd w:fill="auto" w:val="clear"/>
          <w:lang w:val="ru-RU" w:eastAsia="ar-SA" w:bidi="ar-SA"/>
        </w:rPr>
        <w:t>- Рынок финансового просвещения.</w:t>
      </w:r>
      <w:r>
        <w:rPr>
          <w:rFonts w:eastAsia="SimSun" w:cs="Times New Roman" w:ascii="Times New Roman" w:hAnsi="Times New Roman"/>
          <w:b w:val="false"/>
          <w:bCs w:val="false"/>
          <w:color w:val="000000"/>
          <w:kern w:val="2"/>
          <w:sz w:val="28"/>
          <w:szCs w:val="24"/>
          <w:shd w:fill="auto" w:val="clear"/>
          <w:lang w:val="ru-RU" w:eastAsia="ar-SA" w:bidi="ar-SA"/>
        </w:rPr>
        <w:t xml:space="preserve"> 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Муниципальное образование Кореновский район активно реализует мероприятия финансового просвещения, проводимые министерством экономики Краснодарского края. 25,3% населения района приняли участие в мероприятиях по повышению финансовой грамотности.</w:t>
      </w:r>
    </w:p>
    <w:p>
      <w:pPr>
        <w:pStyle w:val="BodyText"/>
        <w:keepNext w:val="true"/>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Уроки финансовой грамотности проводятся во всех школах Кореновского района. Охват детей — 100%. Район активно участвует в творческом конкурсе «Деньги — не игрушка». Лучшие работы используются в качестве социальной рекламы в посещаемых местах муниципального образования Кореновский район.</w:t>
      </w:r>
    </w:p>
    <w:p>
      <w:pPr>
        <w:pStyle w:val="BodyText"/>
        <w:keepNext w:val="true"/>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Население района активно пользуется финансовыми услугами. 67% респондентов пользовались различными финансовыми продуктами на момент опроса и в течение предыдущих 12 месяцев. </w:t>
      </w:r>
    </w:p>
    <w:p>
      <w:pPr>
        <w:pStyle w:val="Normal"/>
        <w:keepNext w:val="true"/>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Зарплатными и расчетными картами пользовались более 80% респондентов, 79 % - кредитными картами.</w:t>
      </w:r>
    </w:p>
    <w:p>
      <w:pPr>
        <w:pStyle w:val="Normal"/>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В Кореновском районе функционирует 9 банков, 6 из которых входят в ТОП-30 крупнейших российских банков и 3 региональных банка. Преимущественно офисы банков находятся в г.Кореновске. 6 % опрошенных отметили удаленность отделений банков, 8% - не устраивает высокая процентная ставка заемных средств, 8,3% респондентов — не хотят жить «в долг», у 7,7%  опрошенных нет необходимости в заемных средствах.</w:t>
      </w:r>
    </w:p>
    <w:p>
      <w:pPr>
        <w:pStyle w:val="Normal"/>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 xml:space="preserve">Различными страховыми продуктами пользовались в 2024 году 76% опрошенных, в основном это ОСАГО. Однако, 8% опрошенных отметили высокую стоимость страхового полиса, 15,3% - недоверие страховым организациям, 9% - не видят смысла в страховании, 6,9% - отмечают некоторые невыгодные условия страхового договора. </w:t>
      </w:r>
    </w:p>
    <w:p>
      <w:pPr>
        <w:pStyle w:val="Normal"/>
        <w:suppressAutoHyphens w:val="false"/>
        <w:spacing w:lineRule="auto" w:line="240" w:before="0" w:after="0"/>
        <w:ind w:firstLine="709" w:right="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Удовлетворенность работой сервисов банковских структур отметили более 92 % опрошенных.</w:t>
      </w:r>
    </w:p>
    <w:p>
      <w:pPr>
        <w:pStyle w:val="Normal"/>
        <w:suppressAutoHyphens w:val="false"/>
        <w:spacing w:lineRule="auto" w:line="240" w:before="0" w:after="0"/>
        <w:ind w:firstLine="709" w:right="-1"/>
        <w:contextualSpacing/>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right="0"/>
        <w:contextualSpacing/>
        <w:jc w:val="center"/>
        <w:textAlignment w:val="auto"/>
        <w:rPr/>
      </w:pPr>
      <w:r>
        <w:rPr>
          <w:rFonts w:eastAsia="SimSun;宋体" w:cs="Times New Roman" w:ascii="Times New Roman" w:hAnsi="Times New Roman"/>
          <w:b/>
          <w:bCs/>
          <w:color w:val="000000"/>
          <w:kern w:val="2"/>
          <w:sz w:val="28"/>
          <w:szCs w:val="28"/>
          <w:shd w:fill="auto" w:val="clear"/>
          <w:lang w:val="ru-RU" w:eastAsia="zh-CN" w:bidi="hi-IN"/>
        </w:rPr>
        <w:t xml:space="preserve">Анализ </w:t>
      </w:r>
      <w:r>
        <w:rPr>
          <w:rFonts w:eastAsia="SimSun" w:cs="Times New Roman" w:ascii="Times New Roman" w:hAnsi="Times New Roman"/>
          <w:b/>
          <w:bCs/>
          <w:color w:val="000000"/>
          <w:kern w:val="2"/>
          <w:sz w:val="28"/>
          <w:szCs w:val="28"/>
          <w:shd w:fill="auto" w:val="clear"/>
          <w:lang w:val="ru-RU" w:eastAsia="ar-SA" w:bidi="hi-IN"/>
        </w:rPr>
        <w:t>состояния</w:t>
      </w:r>
      <w:r>
        <w:rPr>
          <w:rFonts w:eastAsia="SimSun;宋体" w:cs="Times New Roman" w:ascii="Times New Roman" w:hAnsi="Times New Roman"/>
          <w:b/>
          <w:bCs/>
          <w:color w:val="000000"/>
          <w:kern w:val="2"/>
          <w:sz w:val="28"/>
          <w:szCs w:val="28"/>
          <w:shd w:fill="auto" w:val="clear"/>
          <w:lang w:val="ru-RU" w:eastAsia="zh-CN" w:bidi="hi-IN"/>
        </w:rPr>
        <w:t xml:space="preserve"> конкуренции на товарных рынках социальной сферы </w:t>
      </w:r>
    </w:p>
    <w:p>
      <w:pPr>
        <w:pStyle w:val="Normal"/>
        <w:suppressAutoHyphens w:val="false"/>
        <w:spacing w:lineRule="auto" w:line="240" w:before="0" w:after="0"/>
        <w:ind w:right="-1"/>
        <w:jc w:val="both"/>
        <w:textAlignment w:val="auto"/>
        <w:rPr/>
      </w:pPr>
      <w:r>
        <w:rPr>
          <w:rFonts w:cs="Times New Roman" w:ascii="Times New Roman" w:hAnsi="Times New Roman"/>
          <w:b/>
          <w:bCs/>
          <w:color w:val="000000"/>
          <w:sz w:val="28"/>
          <w:lang w:eastAsia="ru-RU"/>
        </w:rPr>
        <w:tab/>
      </w:r>
      <w:r>
        <w:rPr>
          <w:rFonts w:cs="Times New Roman" w:ascii="Times New Roman" w:hAnsi="Times New Roman"/>
          <w:b w:val="false"/>
          <w:bCs w:val="false"/>
          <w:color w:val="000000"/>
          <w:sz w:val="28"/>
          <w:szCs w:val="28"/>
          <w:lang w:eastAsia="ru-RU"/>
        </w:rPr>
        <w:t xml:space="preserve">По результатам опроса, большинство жителей 48% считают, что организаций, оказывающих услуги в социальной сфере, достаточно, </w:t>
      </w:r>
      <w:r>
        <w:rPr>
          <w:rFonts w:eastAsia="SimSun" w:cs="Times New Roman" w:ascii="Times New Roman" w:hAnsi="Times New Roman"/>
          <w:b w:val="false"/>
          <w:bCs w:val="false"/>
          <w:color w:val="auto"/>
          <w:kern w:val="2"/>
          <w:sz w:val="28"/>
          <w:szCs w:val="28"/>
          <w:lang w:val="ru-RU" w:eastAsia="ar-SA" w:bidi="ar-SA"/>
        </w:rPr>
        <w:t>39</w:t>
      </w:r>
      <w:r>
        <w:rPr>
          <w:rFonts w:cs="Times New Roman" w:ascii="Times New Roman" w:hAnsi="Times New Roman"/>
          <w:b w:val="false"/>
          <w:bCs w:val="false"/>
          <w:color w:val="000000"/>
          <w:sz w:val="28"/>
          <w:szCs w:val="28"/>
          <w:lang w:eastAsia="ru-RU"/>
        </w:rPr>
        <w:t xml:space="preserve"> % - мало, </w:t>
      </w:r>
      <w:r>
        <w:rPr>
          <w:rFonts w:eastAsia="SimSun" w:cs="Times New Roman" w:ascii="Times New Roman" w:hAnsi="Times New Roman"/>
          <w:b w:val="false"/>
          <w:bCs w:val="false"/>
          <w:color w:val="000000"/>
          <w:kern w:val="2"/>
          <w:sz w:val="28"/>
          <w:szCs w:val="28"/>
          <w:lang w:val="ru-RU" w:eastAsia="ru-RU" w:bidi="ar-SA"/>
        </w:rPr>
        <w:t>13</w:t>
      </w:r>
      <w:r>
        <w:rPr>
          <w:rFonts w:cs="Times New Roman" w:ascii="Times New Roman" w:hAnsi="Times New Roman"/>
          <w:b w:val="false"/>
          <w:bCs w:val="false"/>
          <w:color w:val="000000"/>
          <w:sz w:val="28"/>
          <w:szCs w:val="28"/>
          <w:lang w:eastAsia="ru-RU"/>
        </w:rPr>
        <w:t xml:space="preserve"> %, что нет совсем.</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szCs w:val="28"/>
          <w:lang w:eastAsia="en-US"/>
        </w:rPr>
        <w:t xml:space="preserve">Большинство респондентов (93,5%) удовлетворены или скорее удовлетворены уровнем цен, качеством и доступностью услуг, оказываемых хозяйствующими субъектами на товарных рынках </w:t>
      </w:r>
      <w:r>
        <w:rPr>
          <w:rFonts w:eastAsia="Calibri" w:cs="Times New Roman" w:ascii="Times New Roman" w:hAnsi="Times New Roman"/>
          <w:color w:val="auto"/>
          <w:kern w:val="0"/>
          <w:sz w:val="28"/>
          <w:szCs w:val="28"/>
          <w:lang w:val="ru-RU" w:eastAsia="en-US" w:bidi="ar-SA"/>
        </w:rPr>
        <w:t>социальной сферы</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76,7</w:t>
      </w:r>
      <w:r>
        <w:rPr>
          <w:rFonts w:eastAsia="Calibri" w:cs="Times New Roman" w:ascii="Times New Roman" w:hAnsi="Times New Roman"/>
          <w:kern w:val="0"/>
          <w:sz w:val="28"/>
          <w:szCs w:val="28"/>
          <w:lang w:eastAsia="en-US"/>
        </w:rPr>
        <w:t xml:space="preserve">% респондентов считают, что уровень цен на услуги в </w:t>
      </w:r>
      <w:r>
        <w:rPr>
          <w:rFonts w:eastAsia="Calibri" w:cs="Times New Roman" w:ascii="Times New Roman" w:hAnsi="Times New Roman"/>
          <w:color w:val="auto"/>
          <w:kern w:val="0"/>
          <w:sz w:val="28"/>
          <w:szCs w:val="28"/>
          <w:lang w:val="ru-RU" w:eastAsia="en-US" w:bidi="ar-SA"/>
        </w:rPr>
        <w:t>социальной сфере</w:t>
      </w:r>
      <w:r>
        <w:rPr>
          <w:rFonts w:eastAsia="Calibri" w:cs="Times New Roman" w:ascii="Times New Roman" w:hAnsi="Times New Roman"/>
          <w:kern w:val="0"/>
          <w:sz w:val="28"/>
          <w:szCs w:val="28"/>
          <w:lang w:eastAsia="en-US"/>
        </w:rPr>
        <w:t xml:space="preserve"> увеличился, 54 %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55 % - повышение уровня доступности данных услуг. </w:t>
      </w:r>
    </w:p>
    <w:p>
      <w:pPr>
        <w:pStyle w:val="Norma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Социальная сфера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cs="Times New Roman" w:ascii="Times New Roman" w:hAnsi="Times New Roman"/>
          <w:b/>
          <w:bCs/>
          <w:color w:val="000000"/>
          <w:sz w:val="28"/>
          <w:lang w:eastAsia="ru-RU"/>
        </w:rPr>
        <w:t xml:space="preserve">- Рынок услуг детского отдыха и оздоровления. </w:t>
      </w:r>
      <w:r>
        <w:rPr>
          <w:rFonts w:cs="Times New Roman" w:ascii="Times New Roman" w:hAnsi="Times New Roman"/>
          <w:b w:val="false"/>
          <w:bCs w:val="false"/>
          <w:color w:val="000000"/>
          <w:sz w:val="28"/>
          <w:szCs w:val="28"/>
          <w:lang w:val="ru-RU" w:eastAsia="ru-RU"/>
        </w:rPr>
        <w:t>В рамках реализации мероприятий по обеспечению занятости несовершеннолетних в летний период н</w:t>
      </w:r>
      <w:r>
        <w:rPr>
          <w:rFonts w:cs="Times New Roman" w:ascii="Times New Roman" w:hAnsi="Times New Roman"/>
          <w:b w:val="false"/>
          <w:bCs w:val="false"/>
          <w:color w:val="000000"/>
          <w:sz w:val="28"/>
          <w:szCs w:val="28"/>
          <w:lang w:val="ru-RU" w:eastAsia="ru-RU" w:bidi="ru-RU"/>
        </w:rPr>
        <w:t>а базе 22 образовательного учреждения и 3 учреждений дополнительного образования в летний период функционировали 23 лагеря дневного пребывания с охватом 1450 детей (из них 1189 детей из малоимущих и многодетных семей, 974 детей из других семей) и  9 лагерей труда и отдыха с охватом 150 человек.</w:t>
      </w:r>
    </w:p>
    <w:p>
      <w:pPr>
        <w:pStyle w:val="NoSpacing"/>
        <w:spacing w:lineRule="auto" w:line="240"/>
        <w:ind w:right="0"/>
        <w:jc w:val="both"/>
        <w:rPr/>
      </w:pPr>
      <w:r>
        <w:rPr>
          <w:rFonts w:cs="Times New Roman"/>
          <w:b w:val="false"/>
          <w:bCs w:val="false"/>
          <w:color w:val="000000"/>
          <w:sz w:val="28"/>
          <w:szCs w:val="28"/>
          <w:lang w:val="ru-RU"/>
        </w:rPr>
        <w:tab/>
      </w:r>
      <w:r>
        <w:rPr>
          <w:rFonts w:cs="Times New Roman"/>
          <w:b w:val="false"/>
          <w:bCs w:val="false"/>
          <w:color w:val="000000"/>
          <w:sz w:val="28"/>
          <w:szCs w:val="28"/>
          <w:lang w:val="ru-RU" w:eastAsia="ru-RU" w:bidi="ru-RU"/>
        </w:rPr>
        <w:t>Каждый лагерь дневного пребывания имел профильную направленность.</w:t>
      </w:r>
    </w:p>
    <w:p>
      <w:pPr>
        <w:pStyle w:val="NoSpacing"/>
        <w:spacing w:lineRule="auto" w:line="240"/>
        <w:ind w:right="0"/>
        <w:jc w:val="both"/>
        <w:rPr>
          <w:rFonts w:cs="Times New Roman"/>
          <w:b w:val="false"/>
          <w:bCs w:val="false"/>
          <w:color w:val="000000"/>
          <w:sz w:val="28"/>
          <w:szCs w:val="28"/>
          <w:lang w:val="ru-RU" w:eastAsia="ru-RU" w:bidi="ru-RU"/>
        </w:rPr>
      </w:pPr>
      <w:r>
        <w:rPr>
          <w:rFonts w:cs="Times New Roman"/>
          <w:b w:val="false"/>
          <w:bCs w:val="false"/>
          <w:color w:val="000000"/>
          <w:sz w:val="28"/>
          <w:szCs w:val="28"/>
          <w:lang w:val="ru-RU" w:eastAsia="ru-RU" w:bidi="ru-RU"/>
        </w:rPr>
        <w:tab/>
        <w:t xml:space="preserve">В летний период были организованны однодневные походы и экскурсии, многодневные походы, турслёты, спортивные мероприятия с общим охватом — более 17 тысяч несовершеннолетних. </w:t>
      </w:r>
    </w:p>
    <w:p>
      <w:pPr>
        <w:pStyle w:val="Normal"/>
        <w:suppressAutoHyphens w:val="false"/>
        <w:spacing w:lineRule="auto" w:line="240" w:before="0" w:after="0"/>
        <w:ind w:right="-1"/>
        <w:jc w:val="both"/>
        <w:textAlignment w:val="auto"/>
        <w:rPr/>
      </w:pPr>
      <w:r>
        <w:rPr>
          <w:rFonts w:eastAsia="SimSun" w:cs="Times New Roman" w:ascii="Times New Roman" w:hAnsi="Times New Roman"/>
          <w:b w:val="false"/>
          <w:bCs w:val="false"/>
          <w:color w:val="000000"/>
          <w:kern w:val="2"/>
          <w:sz w:val="28"/>
          <w:szCs w:val="28"/>
          <w:shd w:fill="auto" w:val="clear"/>
          <w:lang w:val="ru-RU" w:eastAsia="ru-RU" w:bidi="ar-SA"/>
        </w:rPr>
        <w:tab/>
        <w:t xml:space="preserve">Деятельность в части организации занятости детей и подростков в летний период осуществляли 56 учреждений культуры, из них 26 учреждений культурно-досугового типа, 25 библиотек, Кореновский историко-краеведческий музей, городской парк культуры и отдыха, кинотеатр «Октябрь», 2 детские школы искусств. </w:t>
      </w:r>
      <w:r>
        <w:rPr>
          <w:rFonts w:eastAsia="SimSun" w:cs="Times New Roman" w:ascii="Times New Roman" w:hAnsi="Times New Roman"/>
          <w:b w:val="false"/>
          <w:bCs w:val="false"/>
          <w:color w:val="000000"/>
          <w:kern w:val="2"/>
          <w:sz w:val="28"/>
          <w:szCs w:val="24"/>
          <w:shd w:fill="auto" w:val="clear"/>
          <w:lang w:val="ru-RU" w:eastAsia="ar-SA" w:bidi="ar-SA"/>
        </w:rPr>
        <w:t>Дети были обеспечены бесплатным питанием. В период летних каникул малозатратными формами деятельности на базе образовательных организаций были организованы краткосрочные походы,  посещение учащимися Ледового Дворца, бассейнов, кинотеатра, воинских частей и др.</w:t>
      </w:r>
    </w:p>
    <w:p>
      <w:pPr>
        <w:pStyle w:val="Normal"/>
        <w:spacing w:lineRule="auto" w:line="240" w:before="0" w:after="0"/>
        <w:ind w:right="0"/>
        <w:jc w:val="both"/>
        <w:rPr/>
      </w:pPr>
      <w:r>
        <w:rPr>
          <w:rStyle w:val="FontStyle16"/>
          <w:rFonts w:cs="Times New Roman" w:ascii="Times New Roman" w:hAnsi="Times New Roman"/>
          <w:sz w:val="28"/>
          <w:szCs w:val="28"/>
          <w:lang w:eastAsia="ru-RU"/>
        </w:rPr>
        <w:tab/>
      </w:r>
      <w:r>
        <w:rPr>
          <w:rFonts w:eastAsia="SimSun" w:cs="Times New Roman" w:ascii="Times New Roman" w:hAnsi="Times New Roman"/>
          <w:b w:val="false"/>
          <w:bCs w:val="false"/>
          <w:color w:val="000000"/>
          <w:kern w:val="2"/>
          <w:sz w:val="28"/>
          <w:szCs w:val="24"/>
          <w:shd w:fill="auto" w:val="clear"/>
          <w:lang w:val="ru-RU" w:eastAsia="ar-SA" w:bidi="ar-SA"/>
        </w:rPr>
        <w:t>ЗАО КМКК за счет собственных средств приобретено 30 путевок в ФГБОУ ВДЦ «Смена»  для детей работников.</w:t>
      </w:r>
    </w:p>
    <w:p>
      <w:pPr>
        <w:pStyle w:val="Style61"/>
        <w:spacing w:lineRule="auto" w:line="240" w:before="0" w:after="0"/>
        <w:rPr/>
      </w:pPr>
      <w:r>
        <w:rPr>
          <w:rStyle w:val="FontStyle16"/>
          <w:rFonts w:cs="Times New Roman" w:ascii="Times New Roman" w:hAnsi="Times New Roman"/>
          <w:sz w:val="28"/>
          <w:szCs w:val="28"/>
          <w:lang w:eastAsia="ru-RU"/>
        </w:rPr>
        <w:t xml:space="preserve">За отчетный период с 1 июня по 31 августа 2024 года учреждениями культуры Кореновского района было проведено </w:t>
      </w:r>
      <w:r>
        <w:rPr>
          <w:rStyle w:val="FontStyle16"/>
          <w:rFonts w:cs="Times New Roman" w:ascii="Times New Roman" w:hAnsi="Times New Roman"/>
          <w:sz w:val="28"/>
          <w:szCs w:val="28"/>
          <w:lang w:val="ru-RU" w:eastAsia="ru-RU"/>
        </w:rPr>
        <w:t>1563</w:t>
      </w:r>
      <w:r>
        <w:rPr>
          <w:rStyle w:val="FontStyle16"/>
          <w:rFonts w:cs="Times New Roman" w:ascii="Times New Roman" w:hAnsi="Times New Roman"/>
          <w:sz w:val="28"/>
          <w:szCs w:val="28"/>
          <w:lang w:eastAsia="ru-RU"/>
        </w:rPr>
        <w:t xml:space="preserve"> культурно-массовых мероприяти</w:t>
      </w:r>
      <w:r>
        <w:rPr>
          <w:rStyle w:val="FontStyle16"/>
          <w:rFonts w:cs="Times New Roman" w:ascii="Times New Roman" w:hAnsi="Times New Roman"/>
          <w:sz w:val="28"/>
          <w:szCs w:val="28"/>
          <w:lang w:val="ru-RU" w:eastAsia="ru-RU"/>
        </w:rPr>
        <w:t>я</w:t>
      </w:r>
      <w:r>
        <w:rPr>
          <w:rStyle w:val="FontStyle16"/>
          <w:rFonts w:cs="Times New Roman" w:ascii="Times New Roman" w:hAnsi="Times New Roman"/>
          <w:sz w:val="28"/>
          <w:szCs w:val="28"/>
          <w:lang w:eastAsia="ru-RU"/>
        </w:rPr>
        <w:t xml:space="preserve">, </w:t>
      </w:r>
      <w:r>
        <w:rPr>
          <w:rStyle w:val="FontStyle16"/>
          <w:rFonts w:cs="Times New Roman" w:ascii="Times New Roman" w:hAnsi="Times New Roman"/>
          <w:sz w:val="28"/>
          <w:szCs w:val="28"/>
          <w:lang w:val="ru-RU" w:eastAsia="ru-RU"/>
        </w:rPr>
        <w:t>в рамках клубных формирований, в которых приняли участие более</w:t>
      </w:r>
      <w:r>
        <w:rPr>
          <w:rStyle w:val="FontStyle16"/>
          <w:rFonts w:cs="Times New Roman" w:ascii="Times New Roman" w:hAnsi="Times New Roman"/>
          <w:sz w:val="28"/>
          <w:szCs w:val="28"/>
          <w:lang w:eastAsia="ru-RU"/>
        </w:rPr>
        <w:t xml:space="preserve"> </w:t>
      </w:r>
      <w:r>
        <w:rPr>
          <w:rStyle w:val="FontStyle16"/>
          <w:rFonts w:cs="Times New Roman" w:ascii="Times New Roman" w:hAnsi="Times New Roman"/>
          <w:sz w:val="28"/>
          <w:szCs w:val="28"/>
          <w:lang w:val="ru-RU" w:eastAsia="ru-RU"/>
        </w:rPr>
        <w:t>42804</w:t>
      </w:r>
      <w:r>
        <w:rPr>
          <w:rStyle w:val="FontStyle16"/>
          <w:rFonts w:cs="Times New Roman" w:ascii="Times New Roman" w:hAnsi="Times New Roman"/>
          <w:sz w:val="28"/>
          <w:szCs w:val="28"/>
          <w:lang w:eastAsia="ru-RU"/>
        </w:rPr>
        <w:t xml:space="preserve"> </w:t>
      </w:r>
      <w:r>
        <w:rPr>
          <w:rStyle w:val="FontStyle16"/>
          <w:rFonts w:cs="Times New Roman" w:ascii="Times New Roman" w:hAnsi="Times New Roman"/>
          <w:sz w:val="28"/>
          <w:szCs w:val="28"/>
          <w:lang w:val="ru-RU" w:eastAsia="ru-RU"/>
        </w:rPr>
        <w:t>детей.</w:t>
      </w:r>
    </w:p>
    <w:p>
      <w:pPr>
        <w:pStyle w:val="Normal"/>
        <w:spacing w:lineRule="auto" w:line="240" w:before="0" w:after="0"/>
        <w:ind w:firstLine="698" w:right="0"/>
        <w:jc w:val="both"/>
        <w:rPr/>
      </w:pPr>
      <w:r>
        <w:rPr>
          <w:rFonts w:eastAsia="Times New Roman" w:cs="Times New Roman" w:ascii="Times New Roman" w:hAnsi="Times New Roman"/>
          <w:b w:val="false"/>
          <w:bCs w:val="false"/>
          <w:i w:val="false"/>
          <w:color w:val="000000"/>
          <w:sz w:val="28"/>
          <w:szCs w:val="28"/>
          <w:lang w:val="ru-RU" w:eastAsia="ru-RU" w:bidi="ru-RU"/>
        </w:rPr>
        <w:t>В летний период 2024 года организовано 610 экскурсий по краю для 11342 детей</w:t>
      </w:r>
      <w:r>
        <w:rPr>
          <w:rFonts w:cs="Times New Roman" w:ascii="Times New Roman" w:hAnsi="Times New Roman"/>
          <w:sz w:val="28"/>
          <w:szCs w:val="28"/>
        </w:rPr>
        <w:t xml:space="preserve">, 2 экскурсии вне края для 35 детей (г. Москва и г. Санкт-Петербург). Экскурсии проводили в сельскую библиотеку, музеи, парки, храмы, выезжали на экскурсии в г. Горячий Ключ, Гуамское ущелье, исторический парк «Россия – моя история», г. Краснодар. </w:t>
      </w:r>
    </w:p>
    <w:p>
      <w:pPr>
        <w:pStyle w:val="Normal"/>
        <w:suppressAutoHyphens w:val="false"/>
        <w:spacing w:lineRule="auto" w:line="240" w:before="0" w:after="0"/>
        <w:jc w:val="both"/>
        <w:rPr>
          <w:rFonts w:ascii="Times New Roman" w:hAnsi="Times New Roman" w:eastAsia="Times New Roman" w:cs="Times New Roman"/>
          <w:b w:val="false"/>
          <w:bCs w:val="false"/>
          <w:color w:val="000000"/>
          <w:kern w:val="2"/>
          <w:sz w:val="28"/>
          <w:szCs w:val="28"/>
          <w:shd w:fill="auto" w:val="clear"/>
          <w:lang w:val="ru-RU" w:eastAsia="ru-RU" w:bidi="ru-RU"/>
        </w:rPr>
      </w:pPr>
      <w:r>
        <w:rPr>
          <w:rFonts w:eastAsia="Times New Roman" w:cs="Times New Roman" w:ascii="Times New Roman" w:hAnsi="Times New Roman"/>
          <w:b w:val="false"/>
          <w:bCs w:val="false"/>
          <w:i w:val="false"/>
          <w:color w:val="000000"/>
          <w:kern w:val="2"/>
          <w:sz w:val="28"/>
          <w:szCs w:val="28"/>
          <w:shd w:fill="auto" w:val="clear"/>
          <w:lang w:val="ru-RU" w:eastAsia="ru-RU" w:bidi="ru-RU"/>
        </w:rPr>
        <w:tab/>
      </w:r>
      <w:r>
        <w:rPr>
          <w:rFonts w:eastAsia="SimSun" w:cs="Times New Roman" w:ascii="Times New Roman" w:hAnsi="Times New Roman"/>
          <w:b w:val="false"/>
          <w:bCs w:val="false"/>
          <w:color w:val="000000"/>
          <w:kern w:val="2"/>
          <w:sz w:val="28"/>
          <w:szCs w:val="24"/>
          <w:shd w:fill="auto" w:val="clear"/>
          <w:lang w:val="ru-RU" w:eastAsia="ar-SA" w:bidi="ar-SA"/>
        </w:rPr>
        <w:t xml:space="preserve">В рамках летних каникул танцевально-спортивным клубом «Индиго» был организован «Летний лагерь», в программе которого проведены мастер-классы от лучших педагогов края, флешмобы, уроки актерского мастерства и декоративно-прикладного творчества. Ежегодные Танцевальные Лагеря организует профессиональная школа танцев «Южный Бит». На базе оздоровительного центра «Аквапузики» организовано грудничковое плавание. </w:t>
      </w:r>
    </w:p>
    <w:p>
      <w:pPr>
        <w:pStyle w:val="BodyText"/>
        <w:suppressAutoHyphens w:val="false"/>
        <w:spacing w:lineRule="auto" w:line="240" w:before="0" w:after="0"/>
        <w:jc w:val="both"/>
        <w:rPr>
          <w:rFonts w:ascii="Times New Roman" w:hAnsi="Times New Roman" w:eastAsia="SimSun" w:cs="Times New Roman"/>
          <w:b w:val="false"/>
          <w:bCs w:val="false"/>
          <w:color w:val="000000"/>
          <w:kern w:val="2"/>
          <w:sz w:val="28"/>
          <w:szCs w:val="24"/>
          <w:shd w:fill="auto" w:val="clear"/>
          <w:lang w:val="ru-RU" w:eastAsia="ar-SA" w:bidi="ar-SA"/>
        </w:rPr>
      </w:pPr>
      <w:r>
        <w:rPr>
          <w:rFonts w:eastAsia="SimSun" w:cs="Times New Roman" w:ascii="Times New Roman" w:hAnsi="Times New Roman"/>
          <w:b w:val="false"/>
          <w:bCs w:val="false"/>
          <w:color w:val="000000"/>
          <w:kern w:val="2"/>
          <w:sz w:val="28"/>
          <w:szCs w:val="24"/>
          <w:shd w:fill="auto" w:val="clear"/>
          <w:lang w:val="ru-RU" w:eastAsia="ar-SA" w:bidi="ar-SA"/>
        </w:rPr>
        <w:tab/>
        <w:t>На базе МБУК МО КР ДШИ №1 в каникулярное время функционирует  летняя творческая площадка «ДоМиСолька».</w:t>
      </w:r>
    </w:p>
    <w:p>
      <w:pPr>
        <w:pStyle w:val="Normal"/>
        <w:suppressAutoHyphens w:val="false"/>
        <w:spacing w:lineRule="auto" w:line="240" w:before="0" w:after="0"/>
        <w:ind w:right="-1"/>
        <w:jc w:val="both"/>
        <w:textAlignment w:val="auto"/>
        <w:rPr/>
      </w:pPr>
      <w:r>
        <w:rPr>
          <w:rFonts w:eastAsia="SimSun" w:cs="Times New Roman" w:ascii="Times New Roman" w:hAnsi="Times New Roman"/>
          <w:b w:val="false"/>
          <w:bCs w:val="false"/>
          <w:i w:val="false"/>
          <w:color w:val="000000"/>
          <w:kern w:val="2"/>
          <w:sz w:val="28"/>
          <w:szCs w:val="24"/>
          <w:shd w:fill="auto" w:val="clear"/>
          <w:lang w:val="ru-RU" w:eastAsia="ar-SA" w:bidi="ar-SA"/>
        </w:rPr>
        <w:tab/>
      </w:r>
      <w:r>
        <w:rPr>
          <w:rFonts w:eastAsia="Times New Roman" w:cs="Times New Roman" w:ascii="Times New Roman" w:hAnsi="Times New Roman"/>
          <w:color w:val="000000"/>
          <w:sz w:val="28"/>
          <w:szCs w:val="20"/>
          <w:lang w:eastAsia="ru-RU"/>
        </w:rPr>
        <w:t>Факторы, ограничивающие конкуренцию на рынке:</w:t>
      </w:r>
    </w:p>
    <w:p>
      <w:pPr>
        <w:pStyle w:val="Normal"/>
        <w:suppressAutoHyphens w:val="false"/>
        <w:spacing w:lineRule="auto" w:line="240" w:before="0" w:after="0"/>
        <w:ind w:right="-1"/>
        <w:jc w:val="both"/>
        <w:textAlignment w:val="auto"/>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ab/>
        <w:t>- расширение альтернативных форм отдыха: развитие семейного отдыха, кратковременные выезды к морю или в горы, экскурсии в другие города, в удобное для всех членов семьи время;</w:t>
      </w:r>
    </w:p>
    <w:p>
      <w:pPr>
        <w:pStyle w:val="Normal"/>
        <w:spacing w:lineRule="auto" w:line="240" w:before="0" w:after="0"/>
        <w:ind w:firstLine="708" w:right="0"/>
        <w:jc w:val="both"/>
        <w:rPr/>
      </w:pPr>
      <w:r>
        <w:rPr>
          <w:rFonts w:eastAsia="Times New Roman" w:cs="Times New Roman" w:ascii="Times New Roman" w:hAnsi="Times New Roman"/>
          <w:color w:val="000000"/>
          <w:sz w:val="28"/>
          <w:szCs w:val="20"/>
          <w:lang w:eastAsia="ru-RU"/>
        </w:rPr>
        <w:t xml:space="preserve">- расширение частного сектора на рынке отдыха и оздоровления детей зависит от степени </w:t>
      </w:r>
      <w:r>
        <w:rPr>
          <w:rFonts w:eastAsia="Times New Roman" w:cs="Times New Roman" w:ascii="Times New Roman" w:hAnsi="Times New Roman"/>
          <w:color w:val="000000"/>
          <w:kern w:val="2"/>
          <w:sz w:val="28"/>
          <w:szCs w:val="20"/>
          <w:lang w:val="ru-RU" w:eastAsia="ru-RU" w:bidi="ar-SA"/>
        </w:rPr>
        <w:t>выполнения</w:t>
      </w:r>
      <w:r>
        <w:rPr>
          <w:rFonts w:eastAsia="Times New Roman" w:cs="Times New Roman" w:ascii="Times New Roman" w:hAnsi="Times New Roman"/>
          <w:color w:val="000000"/>
          <w:sz w:val="28"/>
          <w:szCs w:val="20"/>
          <w:lang w:eastAsia="ru-RU"/>
        </w:rPr>
        <w:t xml:space="preserve"> высоких требований стандартов качества предоставляемой услуги, соответствия современным санитарно-эпидемиологическим требованиям и нормам пожарной и антитеррористической безопасности;</w:t>
      </w:r>
    </w:p>
    <w:p>
      <w:pPr>
        <w:pStyle w:val="Normal"/>
        <w:spacing w:lineRule="auto" w:line="240" w:before="0" w:after="0"/>
        <w:ind w:firstLine="708" w:right="0"/>
        <w:jc w:val="both"/>
        <w:rPr>
          <w:rFonts w:ascii="Times New Roman" w:hAnsi="Times New Roman" w:eastAsia="Times New Roman" w:cs="Times New Roman"/>
          <w:color w:val="000000"/>
          <w:sz w:val="28"/>
          <w:szCs w:val="20"/>
          <w:lang w:eastAsia="ru-RU"/>
        </w:rPr>
      </w:pPr>
      <w:r>
        <w:rPr>
          <w:rFonts w:eastAsia="Times New Roman" w:cs="Times New Roman" w:ascii="Times New Roman" w:hAnsi="Times New Roman"/>
          <w:color w:val="000000"/>
          <w:sz w:val="28"/>
          <w:szCs w:val="20"/>
          <w:lang w:eastAsia="ru-RU"/>
        </w:rPr>
        <w:t>- обеспечение объектами инфраструктуры, отвечающими установленным требованиям: здания (помещения), территория, коммуникации, оснащение и оборудование;</w:t>
      </w:r>
    </w:p>
    <w:p>
      <w:pPr>
        <w:pStyle w:val="Normal"/>
        <w:tabs>
          <w:tab w:val="clear" w:pos="708"/>
          <w:tab w:val="left" w:pos="1576" w:leader="none"/>
        </w:tabs>
        <w:suppressAutoHyphens w:val="false"/>
        <w:spacing w:lineRule="auto" w:line="240" w:before="0" w:after="0"/>
        <w:ind w:firstLine="708" w:right="0"/>
        <w:jc w:val="both"/>
        <w:textAlignment w:val="auto"/>
        <w:rPr>
          <w:rFonts w:ascii="Times New Roman" w:hAnsi="Times New Roman" w:eastAsia="Times New Roman" w:cs="Times New Roman"/>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 уровень платежеспособности населения, при котором  большинство граждан не могут позволить себе купить путевку в лагерь отдыха и оздоровления детей.</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color w:val="000000"/>
          <w:kern w:val="2"/>
          <w:sz w:val="28"/>
          <w:szCs w:val="20"/>
          <w:shd w:fill="auto" w:val="clear"/>
          <w:lang w:val="ru-RU" w:eastAsia="ru-RU" w:bidi="ar-SA"/>
        </w:rPr>
        <w:tab/>
        <w:t xml:space="preserve">- </w:t>
      </w:r>
      <w:r>
        <w:rPr>
          <w:rStyle w:val="Style20"/>
          <w:rFonts w:eastAsia="Times New Roman" w:cs="Times New Roman" w:ascii="Times New Roman" w:hAnsi="Times New Roman"/>
          <w:b/>
          <w:bCs/>
          <w:i w:val="false"/>
          <w:color w:val="000000"/>
          <w:kern w:val="2"/>
          <w:sz w:val="28"/>
          <w:szCs w:val="20"/>
          <w:shd w:fill="auto" w:val="clear"/>
          <w:lang w:val="ru-RU" w:eastAsia="ru-RU" w:bidi="ar-SA"/>
        </w:rPr>
        <w:t>Рынок услуг по дневному присмотру и уходу за детьми.</w:t>
      </w:r>
      <w:r>
        <w:rPr>
          <w:rStyle w:val="Style20"/>
          <w:rFonts w:eastAsia="Times New Roman" w:cs="Times New Roman" w:ascii="Times New Roman" w:hAnsi="Times New Roman"/>
          <w:b w:val="false"/>
          <w:bCs w:val="false"/>
          <w:i w:val="false"/>
          <w:color w:val="000000"/>
          <w:kern w:val="2"/>
          <w:sz w:val="28"/>
          <w:szCs w:val="20"/>
          <w:shd w:fill="auto" w:val="clear"/>
          <w:lang w:val="ru-RU" w:eastAsia="ru-RU" w:bidi="ar-SA"/>
        </w:rPr>
        <w:t xml:space="preserve"> </w:t>
      </w:r>
      <w:r>
        <w:rPr>
          <w:rStyle w:val="Style18"/>
          <w:rFonts w:eastAsia="Times New Roman" w:cs="Times New Roman" w:ascii="Times New Roman" w:hAnsi="Times New Roman"/>
          <w:b w:val="false"/>
          <w:bCs w:val="false"/>
          <w:color w:val="000000"/>
          <w:kern w:val="2"/>
          <w:sz w:val="28"/>
          <w:szCs w:val="20"/>
          <w:shd w:fill="auto" w:val="clear"/>
          <w:lang w:val="ru-RU" w:eastAsia="ru-RU" w:bidi="ar-SA"/>
        </w:rPr>
        <w:t xml:space="preserve">В напряженной жизни городов для родителей всегда важно знать, что после школы ребенок под присмотром, накормлен и выполнил домашнее задание. </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Группы продленного дня решают эти задачи. ЧУ ДПО «Бизнес-школа «Профи» предлагает 3 варианта продленки на выбор: «Эконом», «Стандарт» и VIP. Продленка возможна в первой и во второй половине дня. Присутствует услуга встречи ребенка после школы и доставка в учреждение посредством автоняни.</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В детском центре «Радуга» есть группа продлённого дня, которая обеспечит ребенку выполнение домашних заданий, дополнительные занятия по русскому языку, математике, улучшения техники чтения, чистописание, перекус, занятия в творческой мастерской.</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Группа продленного дня организована в МАНУ СОШ № 19. В новом корпусе школы организованы просторные кабинеты для групп продленного дня, которые включают игровую зону и зону для занятий.</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t>Деятельность по дневному уходу и присмотру за детьми оказывают и самозанятые граждане Либакина Ольга Владимировна, Карушева Наталья, ИП Золотарева Ольга Николаевна, ИП Горбачева Александра Николаевна. Данные няни предлагают услуги на своей территории. Полный уход за ребёнком, питание, дневной сон. Возможен уход за детьми от года, выезд на корпоративы, праздники</w:t>
      </w:r>
    </w:p>
    <w:p>
      <w:pPr>
        <w:pStyle w:val="BodyText"/>
        <w:spacing w:lineRule="auto" w:line="240" w:before="0" w:after="0"/>
        <w:jc w:val="both"/>
        <w:rPr/>
      </w:pPr>
      <w:r>
        <w:rPr>
          <w:rStyle w:val="Style18"/>
          <w:rFonts w:eastAsia="Times New Roman" w:cs="Times New Roman" w:ascii="Times New Roman" w:hAnsi="Times New Roman"/>
          <w:b w:val="false"/>
          <w:bCs w:val="false"/>
          <w:color w:val="000000"/>
          <w:kern w:val="2"/>
          <w:sz w:val="28"/>
          <w:szCs w:val="20"/>
          <w:shd w:fill="auto" w:val="clear"/>
          <w:lang w:val="ru-RU" w:eastAsia="ru-RU" w:bidi="ar-SA"/>
        </w:rPr>
        <w:tab/>
      </w:r>
      <w:r>
        <w:rPr>
          <w:rStyle w:val="Style18"/>
          <w:rFonts w:eastAsia="Calibri" w:cs="Times New Roman" w:ascii="Times New Roman" w:hAnsi="Times New Roman"/>
          <w:b w:val="false"/>
          <w:bCs w:val="false"/>
          <w:i w:val="false"/>
          <w:color w:val="000000"/>
          <w:kern w:val="0"/>
          <w:sz w:val="28"/>
          <w:szCs w:val="28"/>
          <w:shd w:fill="auto" w:val="clear"/>
          <w:lang w:val="ru-RU" w:eastAsia="en-US" w:bidi="ar-SA"/>
        </w:rPr>
        <w:t>Доля субъектов частного бизнеса на рынке оказания услуг по дневному присмотру и уходу за детьми в муниципальном образовании Кореновский район составляет 80 %.</w:t>
      </w:r>
    </w:p>
    <w:p>
      <w:pPr>
        <w:pStyle w:val="Normal"/>
        <w:widowControl/>
        <w:suppressAutoHyphens w:val="true"/>
        <w:bidi w:val="0"/>
        <w:spacing w:lineRule="auto" w:line="240" w:before="0" w:after="0"/>
        <w:ind w:right="0"/>
        <w:jc w:val="both"/>
        <w:textAlignment w:val="baseline"/>
        <w:rPr/>
      </w:pPr>
      <w:r>
        <w:rPr>
          <w:rFonts w:eastAsia="Times New Roman" w:cs="Times New Roman" w:ascii="Times New Roman" w:hAnsi="Times New Roman"/>
          <w:b/>
          <w:bCs/>
          <w:color w:val="000000"/>
          <w:sz w:val="28"/>
          <w:szCs w:val="28"/>
          <w:lang w:eastAsia="ru-RU"/>
        </w:rPr>
        <w:tab/>
      </w:r>
      <w:r>
        <w:rPr>
          <w:rFonts w:eastAsia="Times New Roman" w:cs="Times New Roman" w:ascii="Times New Roman" w:hAnsi="Times New Roman"/>
          <w:b/>
          <w:color w:val="000000"/>
          <w:sz w:val="28"/>
          <w:szCs w:val="20"/>
          <w:lang w:eastAsia="ru-RU"/>
        </w:rPr>
        <w:t xml:space="preserve">- Рынок услуг в сфере культуры. </w:t>
      </w:r>
      <w:r>
        <w:rPr>
          <w:rFonts w:eastAsia="Times New Roman" w:cs="Times New Roman" w:ascii="Times New Roman" w:hAnsi="Times New Roman"/>
          <w:sz w:val="28"/>
          <w:szCs w:val="20"/>
          <w:lang w:eastAsia="ru-RU"/>
        </w:rPr>
        <w:t>Услуги в сфере культуры в подавляющем большинстве имеют некоммерческий характер, в связи с чем соответствующие виды деятельности являются малопривлекательными для предпринимательства. Таким образом, учреждения культуры чаще действуют в неконкурентных условиях, и у них отсутствует рыночная мотивация к оптимизации издержек и повышению качества своих услуг.</w:t>
      </w:r>
    </w:p>
    <w:p>
      <w:pPr>
        <w:pStyle w:val="Normal"/>
        <w:widowControl/>
        <w:suppressAutoHyphens w:val="true"/>
        <w:bidi w:val="0"/>
        <w:spacing w:lineRule="auto" w:line="240" w:before="0" w:after="0"/>
        <w:ind w:right="0"/>
        <w:jc w:val="both"/>
        <w:textAlignment w:val="baseline"/>
        <w:rPr/>
      </w:pPr>
      <w:r>
        <w:rPr>
          <w:rFonts w:eastAsia="Times New Roman" w:cs="Times New Roman" w:ascii="Times New Roman" w:hAnsi="Times New Roman"/>
          <w:b w:val="false"/>
          <w:i w:val="false"/>
          <w:caps w:val="false"/>
          <w:smallCaps w:val="false"/>
          <w:color w:val="1A1A1A"/>
          <w:spacing w:val="0"/>
          <w:sz w:val="28"/>
          <w:szCs w:val="20"/>
          <w:lang w:eastAsia="ru-RU"/>
        </w:rPr>
        <w:tab/>
        <w:t xml:space="preserve">В отрасли культура функционируют 56 учреждений культуры, </w:t>
      </w: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 xml:space="preserve">из них: 26 клубных учреждений, 25 библиотек, 2 детские школы искусств, кинотеатр, парк культуры и отдыха, историко-краеведческий музей, 13 хозяйствующих субъектов частной формы собственности. Доля не муниципальных организаций в общем обороте хозяйствующих субъектов 18%. </w:t>
      </w:r>
    </w:p>
    <w:p>
      <w:pPr>
        <w:pStyle w:val="Normal"/>
        <w:widowControl/>
        <w:suppressAutoHyphens w:val="true"/>
        <w:bidi w:val="0"/>
        <w:spacing w:lineRule="auto" w:line="240" w:before="0" w:after="0"/>
        <w:ind w:right="0"/>
        <w:jc w:val="both"/>
        <w:textAlignment w:val="baseline"/>
        <w:rPr>
          <w:rFonts w:ascii="Times New Roman" w:hAnsi="Times New Roman" w:eastAsia="Times New Roman" w:cs="Times New Roman"/>
          <w:b w:val="false"/>
          <w:i w:val="false"/>
          <w:i w:val="false"/>
          <w:caps w:val="false"/>
          <w:smallCaps w:val="false"/>
          <w:color w:val="auto"/>
          <w:spacing w:val="0"/>
          <w:kern w:val="2"/>
          <w:sz w:val="28"/>
          <w:szCs w:val="20"/>
          <w:lang w:val="ru-RU" w:eastAsia="ru-RU" w:bidi="ar-SA"/>
        </w:rPr>
      </w:pPr>
      <w:r>
        <w:rPr>
          <w:rFonts w:eastAsia="Times New Roman" w:cs="Times New Roman" w:ascii="Times New Roman" w:hAnsi="Times New Roman"/>
          <w:b w:val="false"/>
          <w:i w:val="false"/>
          <w:caps w:val="false"/>
          <w:smallCaps w:val="false"/>
          <w:color w:val="auto"/>
          <w:spacing w:val="0"/>
          <w:kern w:val="2"/>
          <w:sz w:val="28"/>
          <w:szCs w:val="20"/>
          <w:lang w:val="ru-RU" w:eastAsia="ru-RU" w:bidi="ar-SA"/>
        </w:rPr>
        <w:tab/>
        <w:t>В клубных учреждениях района стабильно работают 336 клубных формирований с числом участников 9217 человек, из них 224 формирования — для детей до 14 лет. Охват населения клубными формированиями составляет 21,7 %. Культурная жизнь жителей района насыщена фестивалями, конкурсами творческими мероприятиями, ежегодно культурно-досуговыми учреждениями района проводится более 10,5 тысяч мероприятий, из них более 5 тысяч - для детей до 14 лет. В среднем, каждый житель района посещает клубные учреждения 7 раз в год.</w:t>
      </w:r>
    </w:p>
    <w:p>
      <w:pPr>
        <w:pStyle w:val="Normal"/>
        <w:widowControl/>
        <w:suppressAutoHyphens w:val="true"/>
        <w:bidi w:val="0"/>
        <w:spacing w:lineRule="auto" w:line="240" w:before="0" w:after="0"/>
        <w:ind w:right="0"/>
        <w:jc w:val="both"/>
        <w:textAlignment w:val="baseline"/>
        <w:rPr/>
      </w:pPr>
      <w:r>
        <w:rPr>
          <w:rFonts w:eastAsia="Times New Roman" w:cs="Times New Roman" w:ascii="Times New Roman" w:hAnsi="Times New Roman"/>
          <w:color w:val="auto"/>
          <w:kern w:val="2"/>
          <w:sz w:val="28"/>
          <w:szCs w:val="20"/>
          <w:lang w:val="ru-RU" w:eastAsia="ru-RU" w:bidi="ar-SA"/>
        </w:rPr>
        <w:tab/>
      </w:r>
      <w:r>
        <w:rPr>
          <w:rFonts w:eastAsia="Times New Roman" w:cs="Times New Roman" w:ascii="Times New Roman" w:hAnsi="Times New Roman"/>
          <w:sz w:val="28"/>
          <w:szCs w:val="20"/>
          <w:lang w:eastAsia="ru-RU"/>
        </w:rPr>
        <w:t>Учреждения культуры работают в тесной связи с общественными организациями, некоммерческими обществами, индивидуальными предпринимателями по направлению деятельности – организация досуга населения.</w:t>
      </w:r>
    </w:p>
    <w:p>
      <w:pPr>
        <w:pStyle w:val="Normal"/>
        <w:shd w:val="clear" w:fill="FFFFFF"/>
        <w:spacing w:lineRule="auto" w:line="240" w:before="0" w:after="0"/>
        <w:ind w:firstLine="708" w:right="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Данные организации представлены в малых формах, оказывающих незначительные услуги и реализующие разовые проекты. При этом данный сектор является инновационным ресурсом и творческим резервом культуры, создает собственные рабочие места, культурные продукты и оказывает услуги.</w:t>
      </w:r>
    </w:p>
    <w:p>
      <w:pPr>
        <w:pStyle w:val="Normal"/>
        <w:spacing w:lineRule="auto" w:line="240" w:before="0" w:after="0"/>
        <w:ind w:firstLine="708" w:right="0"/>
        <w:jc w:val="both"/>
        <w:rPr/>
      </w:pPr>
      <w:r>
        <w:rPr>
          <w:rFonts w:eastAsia="Times New Roman" w:cs="Times New Roman" w:ascii="Times New Roman" w:hAnsi="Times New Roman"/>
          <w:sz w:val="28"/>
          <w:szCs w:val="20"/>
          <w:lang w:eastAsia="ru-RU"/>
        </w:rPr>
        <w:t xml:space="preserve">Рынок услуг в сфере культуры определен рабочей группой по содействию развитию конкуренции на территории муниципального образования </w:t>
      </w:r>
      <w:r>
        <w:rPr>
          <w:rFonts w:eastAsia="Times New Roman" w:cs="Times New Roman" w:ascii="Times New Roman" w:hAnsi="Times New Roman"/>
          <w:color w:val="auto"/>
          <w:kern w:val="2"/>
          <w:sz w:val="28"/>
          <w:szCs w:val="20"/>
          <w:lang w:val="ru-RU" w:eastAsia="ru-RU" w:bidi="ar-SA"/>
        </w:rPr>
        <w:t>Кореновский район</w:t>
      </w:r>
      <w:r>
        <w:rPr>
          <w:rFonts w:eastAsia="Times New Roman" w:cs="Times New Roman" w:ascii="Times New Roman" w:hAnsi="Times New Roman"/>
          <w:sz w:val="28"/>
          <w:szCs w:val="20"/>
          <w:lang w:eastAsia="ru-RU"/>
        </w:rPr>
        <w:t xml:space="preserve"> как социально-значимый.</w:t>
      </w:r>
    </w:p>
    <w:p>
      <w:pPr>
        <w:pStyle w:val="Normal"/>
        <w:widowControl w:val="false"/>
        <w:spacing w:lineRule="auto" w:line="240" w:before="0" w:after="0"/>
        <w:ind w:firstLine="708" w:right="0"/>
        <w:jc w:val="both"/>
        <w:rPr>
          <w:rFonts w:ascii="Times New Roman" w:hAnsi="Times New Roman" w:eastAsia="Times New Roman" w:cs="Times New Roman"/>
          <w:b w:val="false"/>
          <w:bCs w:val="false"/>
          <w:i w:val="false"/>
          <w:i w:val="false"/>
          <w:iCs w:val="false"/>
          <w:color w:val="auto"/>
          <w:kern w:val="2"/>
          <w:sz w:val="28"/>
          <w:szCs w:val="20"/>
          <w:lang w:val="ru-RU" w:eastAsia="ru-RU" w:bidi="ar-SA"/>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На территории Кореновского района реализуются такие проекты, как: </w:t>
        <w:tab/>
      </w:r>
    </w:p>
    <w:p>
      <w:pPr>
        <w:pStyle w:val="Normal"/>
        <w:widowControl w:val="false"/>
        <w:spacing w:lineRule="auto" w:line="240" w:before="0" w:after="0"/>
        <w:ind w:firstLine="708" w:right="0"/>
        <w:jc w:val="both"/>
        <w:rPr/>
      </w:pPr>
      <w:r>
        <w:rPr>
          <w:rFonts w:eastAsia="Times New Roman" w:cs="Times New Roman" w:ascii="Times New Roman" w:hAnsi="Times New Roman"/>
          <w:b w:val="false"/>
          <w:bCs w:val="false"/>
          <w:i w:val="false"/>
          <w:iCs w:val="false"/>
          <w:color w:val="auto"/>
          <w:kern w:val="2"/>
          <w:sz w:val="28"/>
          <w:szCs w:val="20"/>
          <w:lang w:val="ru-RU" w:eastAsia="ru-RU" w:bidi="ar-SA"/>
        </w:rPr>
        <w:t xml:space="preserve">- инновационный просветительский проект  «Многоликая Россия». </w:t>
      </w:r>
      <w:r>
        <w:rPr>
          <w:rFonts w:eastAsia="Times New Roman" w:cs="Times New Roman" w:ascii="Times New Roman" w:hAnsi="Times New Roman"/>
          <w:b w:val="false"/>
          <w:bCs w:val="false"/>
          <w:i w:val="false"/>
          <w:iCs w:val="false"/>
          <w:color w:val="000000"/>
          <w:kern w:val="2"/>
          <w:sz w:val="28"/>
          <w:szCs w:val="20"/>
          <w:shd w:fill="FFFFFF" w:val="clear"/>
          <w:lang w:val="ru-RU" w:eastAsia="ru-RU" w:bidi="ar-SA"/>
        </w:rPr>
        <w:t>Проект направлен на гармонизацию межэтнических отношений и воспитание уважения к другим национальностям в военных частях, дислоцирующихся на территории Кореновского района, поселениях района.</w:t>
      </w:r>
    </w:p>
    <w:p>
      <w:pPr>
        <w:pStyle w:val="NoSpacing"/>
        <w:widowControl w:val="false"/>
        <w:spacing w:lineRule="auto" w:line="240" w:before="0" w:after="0"/>
        <w:ind w:firstLine="708" w:right="0"/>
        <w:jc w:val="both"/>
        <w:rPr>
          <w:rFonts w:eastAsia="Times New Roman" w:cs="Times New Roman"/>
          <w:b w:val="false"/>
          <w:bCs w:val="false"/>
          <w:i w:val="false"/>
          <w:i w:val="false"/>
          <w:iCs w:val="false"/>
          <w:color w:val="000000"/>
          <w:kern w:val="2"/>
          <w:sz w:val="28"/>
          <w:szCs w:val="20"/>
          <w:shd w:fill="FFFFFF" w:val="clear"/>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В рамках патриотического проекта организованы выезды в воинские части, дислоцирующиеся на территории Кореновского района с презентацией национальностей Краснодарского края. В рамках презентации – видео-презентация, выставка книг, национальные костюмы, концертная программа, национальные обычаи и игры для солдат. Данный проект был активно поддержан воинскими частями и учреждениями культуры.</w:t>
      </w:r>
    </w:p>
    <w:p>
      <w:pPr>
        <w:pStyle w:val="NormalWeb"/>
        <w:widowControl w:val="false"/>
        <w:shd w:val="clear" w:fill="FFFFFF"/>
        <w:spacing w:lineRule="auto" w:line="240" w:before="0" w:after="0"/>
        <w:ind w:firstLine="708" w:right="0"/>
        <w:jc w:val="both"/>
        <w:rPr>
          <w:rFonts w:eastAsia="Times New Roman" w:cs="Times New Roman"/>
          <w:b w:val="false"/>
          <w:bCs w:val="false"/>
          <w:i w:val="false"/>
          <w:i w:val="false"/>
          <w:iCs w:val="false"/>
          <w:color w:val="000000"/>
          <w:kern w:val="2"/>
          <w:sz w:val="28"/>
          <w:szCs w:val="20"/>
          <w:shd w:fill="FFFFFF" w:val="clear"/>
          <w:lang w:val="ru-RU" w:eastAsia="ru-RU" w:bidi="ar-SA"/>
        </w:rPr>
      </w:pPr>
      <w:r>
        <w:rPr>
          <w:rFonts w:eastAsia="Times New Roman" w:cs="Times New Roman"/>
          <w:b w:val="false"/>
          <w:bCs w:val="false"/>
          <w:i w:val="false"/>
          <w:iCs w:val="false"/>
          <w:color w:val="000000"/>
          <w:kern w:val="2"/>
          <w:sz w:val="28"/>
          <w:szCs w:val="20"/>
          <w:shd w:fill="FFFFFF" w:val="clear"/>
          <w:lang w:val="ru-RU" w:eastAsia="ru-RU" w:bidi="ar-SA"/>
        </w:rPr>
        <w:t>Проект реализуется с октября 2021 года. За период существования, организовано 32 выезда в воинские части, в мероприятиях приняли участие более 5000 солдат.</w:t>
      </w:r>
    </w:p>
    <w:p>
      <w:pPr>
        <w:pStyle w:val="Style26"/>
        <w:suppressAutoHyphens w:val="false"/>
        <w:bidi w:val="0"/>
        <w:spacing w:lineRule="auto" w:line="240" w:before="0" w:after="0"/>
        <w:ind w:firstLine="709" w:right="0"/>
        <w:jc w:val="both"/>
        <w:rPr/>
      </w:pPr>
      <w:r>
        <w:rPr>
          <w:rStyle w:val="Style20"/>
          <w:rFonts w:eastAsia="Times New Roman" w:cs="Times New Roman" w:ascii="Times New Roman" w:hAnsi="Times New Roman"/>
          <w:b w:val="false"/>
          <w:bCs w:val="false"/>
          <w:color w:val="auto"/>
          <w:kern w:val="2"/>
          <w:sz w:val="28"/>
          <w:szCs w:val="20"/>
          <w:lang w:val="ru-RU" w:eastAsia="ru-RU" w:bidi="ar-SA"/>
        </w:rPr>
        <w:t xml:space="preserve">Одной из новых форм работы в учреждениях культуры в нынешнем году является использование цифровых технологий и интернет-пространства. В Кореновском районе действует новый уникальный проект – «Культурная навигация», в рамках которого на значимых и памятных местах, фасадах учреждений  установлены таблички с QR кодами, при  сканировании которых можно познакомиться с их деятельностью. </w:t>
      </w:r>
    </w:p>
    <w:p>
      <w:pPr>
        <w:pStyle w:val="Style26"/>
        <w:suppressAutoHyphens w:val="false"/>
        <w:bidi w:val="0"/>
        <w:spacing w:lineRule="auto" w:line="240" w:before="0" w:after="0"/>
        <w:ind w:firstLine="709" w:right="0"/>
        <w:jc w:val="both"/>
        <w:rPr/>
      </w:pPr>
      <w:r>
        <w:rPr>
          <w:rStyle w:val="Style20"/>
          <w:rFonts w:eastAsia="Times New Roman" w:cs="Times New Roman" w:ascii="Times New Roman" w:hAnsi="Times New Roman"/>
          <w:b w:val="false"/>
          <w:bCs w:val="false"/>
          <w:color w:val="auto"/>
          <w:kern w:val="2"/>
          <w:sz w:val="28"/>
          <w:szCs w:val="20"/>
          <w:lang w:val="ru-RU" w:eastAsia="ru-RU" w:bidi="ar-SA"/>
        </w:rPr>
        <w:t xml:space="preserve">Также, в Кореновском районе действует новый культурный проект «КультКод», в рамках которого на информационных стендах и видных местах учреждений культуры размещены QR коды сайтов учреждений. Волонтеры культуры распространяют листовки с кодами сайтов учреждений культуры. </w:t>
      </w:r>
    </w:p>
    <w:p>
      <w:pPr>
        <w:pStyle w:val="Normal"/>
        <w:spacing w:lineRule="auto" w:line="240" w:before="0" w:after="0"/>
        <w:ind w:firstLine="708" w:right="0"/>
        <w:jc w:val="both"/>
        <w:rPr>
          <w:rFonts w:ascii="Times New Roman" w:hAnsi="Times New Roman" w:eastAsia="Times New Roman" w:cs="Times New Roman"/>
          <w:b w:val="false"/>
          <w:bCs w:val="false"/>
          <w:sz w:val="28"/>
          <w:szCs w:val="20"/>
          <w:lang w:eastAsia="ru-RU"/>
        </w:rPr>
      </w:pPr>
      <w:r>
        <w:rPr>
          <w:rFonts w:eastAsia="Times New Roman" w:cs="Times New Roman" w:ascii="Times New Roman" w:hAnsi="Times New Roman"/>
          <w:b w:val="false"/>
          <w:bCs w:val="false"/>
          <w:sz w:val="28"/>
          <w:szCs w:val="20"/>
          <w:lang w:eastAsia="ru-RU"/>
        </w:rPr>
        <w:t>Факторы, ограничивающие конкуренцию на рынке:</w:t>
      </w:r>
    </w:p>
    <w:p>
      <w:pPr>
        <w:pStyle w:val="Normal"/>
        <w:spacing w:lineRule="auto" w:line="240" w:before="0" w:after="0"/>
        <w:ind w:firstLine="708" w:right="0"/>
        <w:jc w:val="both"/>
        <w:rPr/>
      </w:pPr>
      <w:r>
        <w:rPr>
          <w:rFonts w:eastAsia="Times New Roman" w:cs="Times New Roman" w:ascii="Times New Roman" w:hAnsi="Times New Roman"/>
          <w:b w:val="false"/>
          <w:bCs w:val="false"/>
          <w:sz w:val="28"/>
          <w:szCs w:val="20"/>
          <w:lang w:eastAsia="ru-RU"/>
        </w:rPr>
        <w:t>- многие виды услуг сферы культуры лишены коммерческого потенциала, носят социально зна</w:t>
      </w:r>
      <w:r>
        <w:rPr>
          <w:rFonts w:eastAsia="Times New Roman" w:cs="Times New Roman" w:ascii="Times New Roman" w:hAnsi="Times New Roman"/>
          <w:sz w:val="28"/>
          <w:szCs w:val="20"/>
          <w:lang w:eastAsia="ru-RU"/>
        </w:rPr>
        <w:t>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Normal"/>
        <w:suppressAutoHyphens w:val="false"/>
        <w:spacing w:lineRule="auto" w:line="240" w:before="0" w:after="0"/>
        <w:jc w:val="both"/>
        <w:rPr/>
      </w:pPr>
      <w:r>
        <w:rPr>
          <w:rStyle w:val="Style20"/>
          <w:rFonts w:eastAsia="Times New Roman" w:cs="Times New Roman" w:ascii="Times New Roman" w:hAnsi="Times New Roman"/>
          <w:b/>
          <w:bCs/>
          <w:color w:val="auto"/>
          <w:kern w:val="2"/>
          <w:sz w:val="28"/>
          <w:szCs w:val="20"/>
          <w:lang w:val="ru-RU" w:eastAsia="ru-RU" w:bidi="ar-SA"/>
        </w:rPr>
        <w:tab/>
        <w:t xml:space="preserve">- Рынок ритуальных услуг. </w:t>
      </w:r>
      <w:r>
        <w:rPr>
          <w:rStyle w:val="Style20"/>
          <w:rFonts w:eastAsia="Times New Roman" w:cs="Times New Roman" w:ascii="Times New Roman" w:hAnsi="Times New Roman"/>
          <w:b w:val="false"/>
          <w:bCs w:val="false"/>
          <w:color w:val="auto"/>
          <w:kern w:val="2"/>
          <w:sz w:val="28"/>
          <w:szCs w:val="20"/>
          <w:lang w:val="ru-RU" w:eastAsia="ru-RU" w:bidi="ar-SA"/>
        </w:rPr>
        <w:tab/>
        <w:t xml:space="preserve">Ответственные за достижение ключевого показателя и координацию мероприятий на рынке ритуальных услуг - </w:t>
      </w:r>
      <w:r>
        <w:rPr>
          <w:rStyle w:val="Style20"/>
          <w:rFonts w:eastAsia="Times New Roman" w:cs="Times New Roman" w:ascii="Times New Roman" w:hAnsi="Times New Roman"/>
          <w:b w:val="false"/>
          <w:bCs w:val="false"/>
          <w:color w:val="000000"/>
          <w:kern w:val="2"/>
          <w:sz w:val="28"/>
          <w:szCs w:val="20"/>
          <w:shd w:fill="FFFFFF" w:val="clear"/>
          <w:lang w:val="ru-RU" w:eastAsia="ru-RU" w:bidi="ar-SA"/>
        </w:rPr>
        <w:t>органы местного самоуправления поселений муниципального образования Кореновский район.</w:t>
      </w:r>
    </w:p>
    <w:p>
      <w:pPr>
        <w:pStyle w:val="NoSpacing"/>
        <w:suppressAutoHyphens w:val="false"/>
        <w:spacing w:lineRule="auto" w:line="240" w:before="0" w:after="0"/>
        <w:jc w:val="both"/>
        <w:rPr/>
      </w:pPr>
      <w:r>
        <w:rPr>
          <w:rStyle w:val="Style20"/>
          <w:rFonts w:eastAsia="Times New Roman" w:cs="Times New Roman"/>
          <w:b w:val="false"/>
          <w:bCs w:val="false"/>
          <w:color w:val="000000"/>
          <w:kern w:val="2"/>
          <w:sz w:val="28"/>
          <w:szCs w:val="20"/>
          <w:shd w:fill="FFFFFF" w:val="clear"/>
          <w:lang w:val="ru-RU" w:eastAsia="ru-RU" w:bidi="ar-SA"/>
        </w:rPr>
        <w:tab/>
        <w:t>Земельные участки, на которых расположены места захоронения в Кореновском районе, в полном объеме находятся в муниципальной собственности. Работы по содержанию кладбищ осуществляются муниципальными унитарными предприятиями.</w:t>
      </w:r>
    </w:p>
    <w:p>
      <w:pPr>
        <w:pStyle w:val="NoSpacing"/>
        <w:suppressAutoHyphens w:val="false"/>
        <w:spacing w:lineRule="auto" w:line="240" w:before="0" w:after="0"/>
        <w:jc w:val="both"/>
        <w:rPr/>
      </w:pPr>
      <w:r>
        <w:rPr>
          <w:rStyle w:val="Style20"/>
          <w:rFonts w:eastAsia="Times New Roman" w:cs="Times New Roman"/>
          <w:b w:val="false"/>
          <w:bCs w:val="false"/>
          <w:color w:val="000000"/>
          <w:kern w:val="2"/>
          <w:sz w:val="28"/>
          <w:szCs w:val="20"/>
          <w:shd w:fill="FFFFFF" w:val="clear"/>
          <w:lang w:val="ru-RU" w:eastAsia="ru-RU" w:bidi="ar-SA"/>
        </w:rPr>
        <w:tab/>
        <w:t>Ежегодно каждым поселением утверждается гарантированный перечень ритуальных услуг.</w:t>
      </w:r>
    </w:p>
    <w:p>
      <w:pPr>
        <w:pStyle w:val="NoSpacing"/>
        <w:suppressAutoHyphens w:val="false"/>
        <w:spacing w:lineRule="auto" w:line="240" w:before="0" w:after="0"/>
        <w:jc w:val="both"/>
        <w:rPr/>
      </w:pPr>
      <w:r>
        <w:rPr>
          <w:rStyle w:val="Style20"/>
          <w:rFonts w:eastAsia="Times New Roman" w:cs="Times New Roman"/>
          <w:b w:val="false"/>
          <w:bCs w:val="false"/>
          <w:color w:val="000000"/>
          <w:kern w:val="2"/>
          <w:sz w:val="28"/>
          <w:szCs w:val="20"/>
          <w:shd w:fill="FFFFFF" w:val="clear"/>
          <w:lang w:val="ru-RU" w:eastAsia="ru-RU" w:bidi="ar-SA"/>
        </w:rPr>
        <w:tab/>
        <w:t>Рынок ритуальных услуг на территории муниципального образования Кореновский район представлен организациями и индивидуальными предпринимателями, предоставляющими услуги по захоронению (рытье могил), катафалк, а также осуществляющими розничную торговлю предметами культового и религиозного назначения, похоронными принадлежностями в специализированных магазинах.</w:t>
      </w:r>
    </w:p>
    <w:p>
      <w:pPr>
        <w:pStyle w:val="Normal"/>
        <w:suppressAutoHyphens w:val="false"/>
        <w:spacing w:lineRule="auto" w:line="240" w:before="0" w:after="0"/>
        <w:ind w:firstLine="589" w:right="0"/>
        <w:jc w:val="both"/>
        <w:rPr/>
      </w:pPr>
      <w:r>
        <w:rPr>
          <w:rStyle w:val="Style20"/>
          <w:rFonts w:eastAsia="Times New Roman" w:cs="Times New Roman" w:ascii="Times New Roman" w:hAnsi="Times New Roman"/>
          <w:b w:val="false"/>
          <w:bCs w:val="false"/>
          <w:color w:val="000000"/>
          <w:kern w:val="2"/>
          <w:sz w:val="28"/>
          <w:szCs w:val="20"/>
          <w:shd w:fill="FFFFFF" w:val="clear"/>
          <w:lang w:val="ru-RU" w:eastAsia="ru-RU" w:bidi="ar-SA"/>
        </w:rPr>
        <w:t xml:space="preserve">На территории Кореновского района ритуальные услуги оказывают порядка 8 хозяйствующих субъектов. 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100%. </w:t>
      </w:r>
    </w:p>
    <w:p>
      <w:pPr>
        <w:pStyle w:val="Normal"/>
        <w:suppressAutoHyphens w:val="false"/>
        <w:spacing w:lineRule="auto" w:line="240" w:before="0" w:after="0"/>
        <w:ind w:firstLine="589" w:right="0"/>
        <w:jc w:val="both"/>
        <w:rPr/>
      </w:pPr>
      <w:r>
        <w:rPr>
          <w:rStyle w:val="Style20"/>
          <w:rFonts w:eastAsia="Times New Roman" w:cs="Times New Roman" w:ascii="Times New Roman" w:hAnsi="Times New Roman"/>
          <w:b w:val="false"/>
          <w:bCs w:val="false"/>
          <w:color w:val="000000"/>
          <w:kern w:val="2"/>
          <w:sz w:val="28"/>
          <w:szCs w:val="20"/>
          <w:shd w:fill="FFFFFF" w:val="clear"/>
          <w:lang w:val="ru-RU" w:eastAsia="ru-RU" w:bidi="ar-SA"/>
        </w:rPr>
        <w:t xml:space="preserve">Основными задачами по содействию развитию конкуренции на рынке являются дальнейшее развитие добросовестной конкуренции. </w:t>
      </w:r>
    </w:p>
    <w:p>
      <w:pPr>
        <w:pStyle w:val="ListParagraph"/>
        <w:widowControl/>
        <w:suppressAutoHyphens w:val="false"/>
        <w:spacing w:lineRule="auto" w:line="276" w:before="0" w:after="200"/>
        <w:ind w:left="0" w:right="0"/>
        <w:contextualSpacing/>
        <w:jc w:val="center"/>
        <w:textAlignment w:val="auto"/>
        <w:rPr/>
      </w:pPr>
      <w:r>
        <w:rPr>
          <w:rFonts w:eastAsia="SimSun;宋体" w:cs="Times New Roman" w:ascii="Times New Roman" w:hAnsi="Times New Roman"/>
          <w:b/>
          <w:bCs/>
          <w:color w:val="000000"/>
          <w:kern w:val="2"/>
          <w:sz w:val="28"/>
          <w:szCs w:val="28"/>
          <w:shd w:fill="auto" w:val="clear"/>
          <w:lang w:val="ru-RU" w:eastAsia="zh-CN" w:bidi="hi-IN"/>
        </w:rPr>
        <w:t xml:space="preserve">Анализ </w:t>
      </w:r>
      <w:r>
        <w:rPr>
          <w:rFonts w:eastAsia="SimSun" w:cs="Times New Roman" w:ascii="Times New Roman" w:hAnsi="Times New Roman"/>
          <w:b/>
          <w:bCs/>
          <w:color w:val="000000"/>
          <w:kern w:val="2"/>
          <w:sz w:val="28"/>
          <w:szCs w:val="28"/>
          <w:shd w:fill="auto" w:val="clear"/>
          <w:lang w:val="ru-RU" w:eastAsia="ar-SA" w:bidi="hi-IN"/>
        </w:rPr>
        <w:t>состояния</w:t>
      </w:r>
      <w:r>
        <w:rPr>
          <w:rFonts w:eastAsia="SimSun;宋体" w:cs="Times New Roman" w:ascii="Times New Roman" w:hAnsi="Times New Roman"/>
          <w:b/>
          <w:bCs/>
          <w:color w:val="000000"/>
          <w:kern w:val="2"/>
          <w:sz w:val="28"/>
          <w:szCs w:val="28"/>
          <w:shd w:fill="auto" w:val="clear"/>
          <w:lang w:val="ru-RU" w:eastAsia="zh-CN" w:bidi="hi-IN"/>
        </w:rPr>
        <w:t xml:space="preserve"> конкуренции на товарных рынках </w:t>
      </w:r>
    </w:p>
    <w:p>
      <w:pPr>
        <w:pStyle w:val="ListParagraph"/>
        <w:widowControl/>
        <w:suppressAutoHyphens w:val="false"/>
        <w:spacing w:lineRule="auto" w:line="276" w:before="0" w:after="200"/>
        <w:ind w:left="0" w:right="0"/>
        <w:contextualSpacing/>
        <w:jc w:val="center"/>
        <w:textAlignment w:val="auto"/>
        <w:rPr>
          <w:rFonts w:ascii="Times New Roman" w:hAnsi="Times New Roman" w:eastAsia="SimSun;宋体" w:cs="Times New Roman"/>
          <w:b/>
          <w:bCs/>
          <w:color w:val="000000"/>
          <w:kern w:val="2"/>
          <w:sz w:val="28"/>
          <w:szCs w:val="28"/>
          <w:shd w:fill="auto" w:val="clear"/>
          <w:lang w:val="ru-RU" w:eastAsia="zh-CN" w:bidi="hi-IN"/>
        </w:rPr>
      </w:pPr>
      <w:r>
        <w:rPr>
          <w:rFonts w:eastAsia="SimSun;宋体" w:cs="Times New Roman" w:ascii="Times New Roman" w:hAnsi="Times New Roman"/>
          <w:b/>
          <w:bCs/>
          <w:color w:val="000000"/>
          <w:kern w:val="2"/>
          <w:sz w:val="28"/>
          <w:szCs w:val="28"/>
          <w:shd w:fill="auto" w:val="clear"/>
          <w:lang w:val="ru-RU" w:eastAsia="zh-CN" w:bidi="hi-IN"/>
        </w:rPr>
        <w:t>сферы  здравоохранения</w:t>
      </w:r>
    </w:p>
    <w:p>
      <w:pPr>
        <w:pStyle w:val="Normal"/>
        <w:suppressAutoHyphens w:val="false"/>
        <w:spacing w:lineRule="auto" w:line="240" w:before="0" w:after="0"/>
        <w:ind w:right="-1"/>
        <w:jc w:val="both"/>
        <w:textAlignment w:val="auto"/>
        <w:rPr/>
      </w:pPr>
      <w:r>
        <w:rPr>
          <w:rFonts w:cs="Times New Roman" w:ascii="Times New Roman" w:hAnsi="Times New Roman"/>
          <w:b w:val="false"/>
          <w:bCs w:val="false"/>
          <w:color w:val="000000"/>
          <w:sz w:val="28"/>
          <w:szCs w:val="28"/>
          <w:lang w:eastAsia="ru-RU"/>
        </w:rPr>
        <w:tab/>
        <w:t xml:space="preserve">По результатам опроса, </w:t>
      </w:r>
      <w:r>
        <w:rPr>
          <w:rFonts w:eastAsia="SimSun" w:cs="Times New Roman" w:ascii="Times New Roman" w:hAnsi="Times New Roman"/>
          <w:b w:val="false"/>
          <w:bCs w:val="false"/>
          <w:color w:val="auto"/>
          <w:kern w:val="2"/>
          <w:sz w:val="28"/>
          <w:szCs w:val="28"/>
          <w:lang w:val="ru-RU" w:eastAsia="ar-SA" w:bidi="ar-SA"/>
        </w:rPr>
        <w:t>78</w:t>
      </w:r>
      <w:r>
        <w:rPr>
          <w:rFonts w:cs="Times New Roman" w:ascii="Times New Roman" w:hAnsi="Times New Roman"/>
          <w:b w:val="false"/>
          <w:bCs w:val="false"/>
          <w:color w:val="000000"/>
          <w:sz w:val="28"/>
          <w:szCs w:val="28"/>
          <w:lang w:eastAsia="ru-RU"/>
        </w:rPr>
        <w:t xml:space="preserve"> % жителей считают, что организаций, оказывающих услуги в сфере здравоохранения, достаточно, </w:t>
      </w:r>
      <w:r>
        <w:rPr>
          <w:rFonts w:eastAsia="SimSun" w:cs="Times New Roman" w:ascii="Times New Roman" w:hAnsi="Times New Roman"/>
          <w:b w:val="false"/>
          <w:bCs w:val="false"/>
          <w:color w:val="auto"/>
          <w:kern w:val="2"/>
          <w:sz w:val="28"/>
          <w:szCs w:val="28"/>
          <w:lang w:val="ru-RU" w:eastAsia="ar-SA" w:bidi="ar-SA"/>
        </w:rPr>
        <w:t>22</w:t>
      </w:r>
      <w:r>
        <w:rPr>
          <w:rFonts w:cs="Times New Roman" w:ascii="Times New Roman" w:hAnsi="Times New Roman"/>
          <w:b w:val="false"/>
          <w:bCs w:val="false"/>
          <w:color w:val="000000"/>
          <w:sz w:val="28"/>
          <w:szCs w:val="28"/>
          <w:lang w:eastAsia="ru-RU"/>
        </w:rPr>
        <w:t xml:space="preserve"> % - мало, </w:t>
      </w:r>
      <w:r>
        <w:rPr>
          <w:rFonts w:eastAsia="SimSun" w:cs="Times New Roman" w:ascii="Times New Roman" w:hAnsi="Times New Roman"/>
          <w:b w:val="false"/>
          <w:bCs w:val="false"/>
          <w:color w:val="000000"/>
          <w:kern w:val="2"/>
          <w:sz w:val="28"/>
          <w:szCs w:val="28"/>
          <w:lang w:val="ru-RU" w:eastAsia="ru-RU" w:bidi="ar-SA"/>
        </w:rPr>
        <w:t>2</w:t>
      </w:r>
      <w:r>
        <w:rPr>
          <w:rFonts w:cs="Times New Roman" w:ascii="Times New Roman" w:hAnsi="Times New Roman"/>
          <w:b w:val="false"/>
          <w:bCs w:val="false"/>
          <w:color w:val="000000"/>
          <w:sz w:val="28"/>
          <w:szCs w:val="28"/>
          <w:lang w:eastAsia="ru-RU"/>
        </w:rPr>
        <w:t xml:space="preserve"> %, что нет совсем.</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91,2</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здравоохранения</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49</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39 % - повышение уровня доступности данных услуг. </w:t>
      </w:r>
    </w:p>
    <w:p>
      <w:pPr>
        <w:pStyle w:val="Norma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здравоохранения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jc w:val="both"/>
        <w:rPr/>
      </w:pPr>
      <w:r>
        <w:rPr>
          <w:rFonts w:eastAsia="Times New Roman" w:cs="Times New Roman" w:ascii="Times New Roman" w:hAnsi="Times New Roman"/>
          <w:b/>
          <w:bCs/>
          <w:color w:val="000000"/>
          <w:kern w:val="0"/>
          <w:sz w:val="28"/>
          <w:szCs w:val="20"/>
          <w:lang w:val="ru-RU" w:eastAsia="ru-RU" w:bidi="ru-RU"/>
        </w:rPr>
        <w:tab/>
      </w:r>
      <w:r>
        <w:rPr>
          <w:rFonts w:eastAsia="Calibri" w:cs="Times New Roman" w:ascii="Times New Roman" w:hAnsi="Times New Roman"/>
          <w:b/>
          <w:bCs/>
          <w:color w:val="auto"/>
          <w:kern w:val="0"/>
          <w:sz w:val="28"/>
          <w:szCs w:val="28"/>
          <w:lang w:val="ru-RU" w:eastAsia="en-US" w:bidi="ar-SA"/>
        </w:rPr>
        <w:t xml:space="preserve">- Рынок медицинских услуг. </w:t>
      </w:r>
      <w:r>
        <w:rPr>
          <w:rFonts w:eastAsia="Calibri" w:cs="Times New Roman" w:ascii="Times New Roman" w:hAnsi="Times New Roman"/>
          <w:b w:val="false"/>
          <w:bCs w:val="false"/>
          <w:color w:val="auto"/>
          <w:kern w:val="0"/>
          <w:sz w:val="28"/>
          <w:szCs w:val="28"/>
          <w:lang w:val="ru-RU" w:eastAsia="en-US" w:bidi="ar-SA"/>
        </w:rPr>
        <w:t>Государственная сеть медицинских учреждений муниципального образования Кореновский район представлена следующими объектами отрасли здравоохранения: ГБУЗ «СПК № 3 МЗ КК», ГБУЗ «Кореновская ЦРБ» МЗ КК.</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Частная система здравоохранения Кореновского района играет значительную роль в районной системе охраны здоровья граждан, однако на сегодняшний день, представляет собой разрозненную, слабоструктурированную совокупность частных медицинских организаций и частнопрактикующих врачей. Наиболее крупные частные медицинские центры — это «Здоровье», «Гармония», «Гиппократ» и «Будь здоров», «Улыбка». В данных организациях работает порядка 100 медицинских работников. Для удовлетворения потребностей жителей района  в консультациях узких специалистов существует практика выездных приемов врачей из краевых клиник.</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ООО «Южное Федеральное Диализное Объединение» (Кореновский филиал) оказывает помощь людям с хронической почечной недостаточностью. ООО «ЮФДО» работает в системе обязательного медицинского страхования. Вся помощь пациентам оказывается бесплатно по полису ОМС – начиная от самой процедуры и заканчивая необходимыми для неё лекарствами.</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Повышенным спросом пользуются услуги по проведению лабораторной диагностики действующими  в районе филиалами медицинских лабораторий: ИНВИТРО, СитиЛаб, Helix, Гемотест. Лаборатории предлагают более 1800 видов лабораторных исследований без записи, очередей и длительного ожидания результатов.</w:t>
      </w:r>
    </w:p>
    <w:p>
      <w:pPr>
        <w:pStyle w:val="Normal"/>
        <w:spacing w:lineRule="auto" w:line="240" w:before="0" w:after="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ab/>
        <w:t xml:space="preserve">В Кореновском районе рынок медицинских услуг активно развивается, отмечается высокий уровень конкуренции в сфере оказания медицинских услуг. </w:t>
      </w:r>
    </w:p>
    <w:p>
      <w:pPr>
        <w:pStyle w:val="Normal"/>
        <w:widowControl w:val="false"/>
        <w:spacing w:lineRule="auto" w:line="240" w:before="0" w:after="0"/>
        <w:ind w:firstLine="731" w:right="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В настоящее время в районе имеют лицензии на оказание медицинских услуг 33 медицинских организации, в том числе частной системы здравоохранения – 30 медорганизаций (в том числе 11 индивидуальных предпринимателей), государственной собственности Краснодарского края – 3 учреждения. Значительную долю медицинских услуг, оказанных частной системой здравоохранения в районе, составили стоматологические услуги, диагностические и лабораторные исследования, амбулаторно-поликлиническая помощь.</w:t>
      </w:r>
    </w:p>
    <w:p>
      <w:pPr>
        <w:pStyle w:val="Normal"/>
        <w:widowControl w:val="false"/>
        <w:spacing w:lineRule="auto" w:line="240" w:before="0" w:after="0"/>
        <w:ind w:firstLine="731" w:right="0"/>
        <w:jc w:val="both"/>
        <w:rPr/>
      </w:pPr>
      <w:r>
        <w:rPr>
          <w:rFonts w:eastAsia="Calibri" w:cs="Times New Roman" w:ascii="Times New Roman" w:hAnsi="Times New Roman"/>
          <w:b/>
          <w:bCs/>
          <w:color w:val="auto"/>
          <w:kern w:val="0"/>
          <w:sz w:val="28"/>
          <w:szCs w:val="28"/>
          <w:lang w:val="ru-RU" w:eastAsia="en-US" w:bidi="ar-SA"/>
        </w:rPr>
        <w:t>- Рынок услуг розничной торговли лекарственными препаратами, медицинскими изделиями и сопутствующими товарами.</w:t>
      </w:r>
      <w:r>
        <w:rPr>
          <w:rFonts w:eastAsia="Calibri" w:cs="Times New Roman" w:ascii="Times New Roman" w:hAnsi="Times New Roman"/>
          <w:b w:val="false"/>
          <w:bCs w:val="false"/>
          <w:color w:val="auto"/>
          <w:kern w:val="0"/>
          <w:sz w:val="28"/>
          <w:szCs w:val="28"/>
          <w:lang w:val="ru-RU" w:eastAsia="en-US" w:bidi="ar-SA"/>
        </w:rPr>
        <w:t xml:space="preserve"> Розничную аптечную сеть Кореновского района составляют 29 субъектов аптечных организаций различных форм собственности. </w:t>
      </w:r>
    </w:p>
    <w:p>
      <w:pPr>
        <w:pStyle w:val="Normal"/>
        <w:widowControl w:val="false"/>
        <w:spacing w:lineRule="auto" w:line="240" w:before="0" w:after="0"/>
        <w:ind w:firstLine="738" w:right="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 xml:space="preserve">Аптека № 17  ГУП КК "Кубаньфармация" выполняет социальную функцию – участвует в льготном лекарственном обеспечении жителей района. </w:t>
      </w:r>
    </w:p>
    <w:p>
      <w:pPr>
        <w:pStyle w:val="Normal"/>
        <w:widowControl w:val="false"/>
        <w:spacing w:lineRule="auto" w:line="240" w:before="0" w:after="0"/>
        <w:ind w:firstLine="738" w:right="0"/>
        <w:jc w:val="both"/>
        <w:rPr>
          <w:rFonts w:ascii="Times New Roman" w:hAnsi="Times New Roman" w:eastAsia="Calibri" w:cs="Times New Roman"/>
          <w:b w:val="false"/>
          <w:bCs w:val="false"/>
          <w:color w:val="auto"/>
          <w:kern w:val="0"/>
          <w:sz w:val="28"/>
          <w:szCs w:val="28"/>
          <w:lang w:val="ru-RU" w:eastAsia="en-US" w:bidi="ar-SA"/>
        </w:rPr>
      </w:pPr>
      <w:r>
        <w:rPr>
          <w:rFonts w:eastAsia="Calibri" w:cs="Times New Roman" w:ascii="Times New Roman" w:hAnsi="Times New Roman"/>
          <w:b w:val="false"/>
          <w:bCs w:val="false"/>
          <w:color w:val="auto"/>
          <w:kern w:val="0"/>
          <w:sz w:val="28"/>
          <w:szCs w:val="28"/>
          <w:lang w:val="ru-RU" w:eastAsia="en-US" w:bidi="ar-SA"/>
        </w:rPr>
        <w:t>Рынок услуг представлен аптечными организациями, организациями, реализующими медицинские изделия и сопутствующие товары. На рынке Кореновского района присутствуют такие сети как: «Волга-аптека», «Магнит-аптека», «Здоровье», «Апрель», «Здесь аптека», «Социальная аптека», «Аптечный склад», 7 индивидуальных предпринимателей. Доля присутствия частного бизнеса на данном рынке составляет 92,9 %.</w:t>
      </w:r>
    </w:p>
    <w:p>
      <w:pPr>
        <w:pStyle w:val="Normal"/>
        <w:widowControl w:val="false"/>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Введенная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p>
      <w:pPr>
        <w:pStyle w:val="Normal"/>
        <w:widowControl w:val="false"/>
        <w:suppressAutoHyphens w:val="false"/>
        <w:spacing w:lineRule="auto" w:line="240" w:before="0" w:after="0"/>
        <w:ind w:firstLine="731" w:right="0"/>
        <w:jc w:val="both"/>
        <w:rPr>
          <w:rFonts w:ascii="Times New Roman" w:hAnsi="Times New Roman" w:eastAsia="Calibri" w:cs="Times New Roman"/>
          <w:b w:val="false"/>
          <w:bCs w:val="false"/>
          <w:i w:val="false"/>
          <w:i w:val="false"/>
          <w:color w:val="000000"/>
          <w:kern w:val="0"/>
          <w:sz w:val="28"/>
          <w:szCs w:val="28"/>
          <w:shd w:fill="auto" w:val="clear"/>
          <w:lang w:val="ru-RU" w:eastAsia="en-US" w:bidi="ar-SA"/>
        </w:rPr>
      </w:pPr>
      <w:r>
        <w:rPr>
          <w:rFonts w:eastAsia="Calibri" w:cs="Times New Roman" w:ascii="Times New Roman" w:hAnsi="Times New Roman"/>
          <w:b w:val="false"/>
          <w:bCs w:val="false"/>
          <w:i w:val="false"/>
          <w:color w:val="000000"/>
          <w:kern w:val="0"/>
          <w:sz w:val="28"/>
          <w:szCs w:val="28"/>
          <w:shd w:fill="auto" w:val="clear"/>
          <w:lang w:val="ru-RU" w:eastAsia="en-US" w:bidi="ar-SA"/>
        </w:rPr>
      </w:r>
    </w:p>
    <w:p>
      <w:pPr>
        <w:pStyle w:val="ListParagraph"/>
        <w:widowControl/>
        <w:suppressAutoHyphens w:val="false"/>
        <w:spacing w:lineRule="auto" w:line="276" w:before="0" w:after="200"/>
        <w:ind w:left="0" w:right="0"/>
        <w:contextualSpacing/>
        <w:jc w:val="center"/>
        <w:textAlignment w:val="auto"/>
        <w:rPr>
          <w:rFonts w:ascii="Times New Roman" w:hAnsi="Times New Roman" w:eastAsia="Times New Roman" w:cs="Times New Roman"/>
          <w:b/>
          <w:bCs/>
          <w:color w:val="000000"/>
          <w:kern w:val="0"/>
          <w:sz w:val="28"/>
          <w:szCs w:val="20"/>
          <w:lang w:val="ru-RU" w:eastAsia="ru-RU" w:bidi="ar-SA"/>
        </w:rPr>
      </w:pPr>
      <w:r>
        <w:rPr>
          <w:rFonts w:eastAsia="Times New Roman" w:cs="Times New Roman" w:ascii="Times New Roman" w:hAnsi="Times New Roman"/>
          <w:b/>
          <w:bCs/>
          <w:color w:val="000000"/>
          <w:kern w:val="0"/>
          <w:sz w:val="28"/>
          <w:szCs w:val="20"/>
          <w:lang w:val="ru-RU" w:eastAsia="ru-RU" w:bidi="ar-SA"/>
        </w:rPr>
        <w:t>Анализ развития конкуренции на товарных рынках сферы ЖКХ</w:t>
      </w:r>
    </w:p>
    <w:p>
      <w:pPr>
        <w:pStyle w:val="Normal"/>
        <w:suppressAutoHyphens w:val="false"/>
        <w:spacing w:lineRule="auto" w:line="240" w:before="0" w:after="0"/>
        <w:ind w:right="-1"/>
        <w:jc w:val="both"/>
        <w:textAlignment w:val="auto"/>
        <w:rPr/>
      </w:pPr>
      <w:r>
        <w:rPr>
          <w:rFonts w:cs="Times New Roman" w:ascii="Times New Roman" w:hAnsi="Times New Roman"/>
          <w:b w:val="false"/>
          <w:bCs w:val="false"/>
          <w:color w:val="000000"/>
          <w:sz w:val="28"/>
          <w:szCs w:val="28"/>
          <w:lang w:eastAsia="ru-RU"/>
        </w:rPr>
        <w:tab/>
        <w:t>По результатам опроса, 9</w:t>
      </w:r>
      <w:r>
        <w:rPr>
          <w:rFonts w:eastAsia="SimSun" w:cs="Times New Roman" w:ascii="Times New Roman" w:hAnsi="Times New Roman"/>
          <w:b w:val="false"/>
          <w:bCs w:val="false"/>
          <w:color w:val="auto"/>
          <w:kern w:val="2"/>
          <w:sz w:val="28"/>
          <w:szCs w:val="28"/>
          <w:lang w:val="ru-RU" w:eastAsia="ar-SA" w:bidi="ar-SA"/>
        </w:rPr>
        <w:t>2</w:t>
      </w:r>
      <w:r>
        <w:rPr>
          <w:rFonts w:cs="Times New Roman" w:ascii="Times New Roman" w:hAnsi="Times New Roman"/>
          <w:b w:val="false"/>
          <w:bCs w:val="false"/>
          <w:color w:val="000000"/>
          <w:sz w:val="28"/>
          <w:szCs w:val="28"/>
          <w:lang w:eastAsia="ru-RU"/>
        </w:rPr>
        <w:t xml:space="preserve"> % жителей считают, что организаций, оказывающих услуги в сфере </w:t>
      </w:r>
      <w:r>
        <w:rPr>
          <w:rFonts w:eastAsia="SimSun" w:cs="Times New Roman" w:ascii="Times New Roman" w:hAnsi="Times New Roman"/>
          <w:b w:val="false"/>
          <w:bCs w:val="false"/>
          <w:color w:val="000000"/>
          <w:kern w:val="2"/>
          <w:sz w:val="28"/>
          <w:szCs w:val="28"/>
          <w:lang w:val="ru-RU" w:eastAsia="ru-RU" w:bidi="ar-SA"/>
        </w:rPr>
        <w:t>ЖКХ</w:t>
      </w:r>
      <w:r>
        <w:rPr>
          <w:rFonts w:cs="Times New Roman" w:ascii="Times New Roman" w:hAnsi="Times New Roman"/>
          <w:b w:val="false"/>
          <w:bCs w:val="false"/>
          <w:color w:val="000000"/>
          <w:sz w:val="28"/>
          <w:szCs w:val="28"/>
          <w:lang w:eastAsia="ru-RU"/>
        </w:rPr>
        <w:t xml:space="preserve"> достаточно, </w:t>
      </w:r>
      <w:r>
        <w:rPr>
          <w:rFonts w:eastAsia="SimSun" w:cs="Times New Roman" w:ascii="Times New Roman" w:hAnsi="Times New Roman"/>
          <w:b w:val="false"/>
          <w:bCs w:val="false"/>
          <w:color w:val="auto"/>
          <w:kern w:val="2"/>
          <w:sz w:val="28"/>
          <w:szCs w:val="28"/>
          <w:lang w:val="ru-RU" w:eastAsia="ar-SA" w:bidi="ar-SA"/>
        </w:rPr>
        <w:t>4</w:t>
      </w:r>
      <w:r>
        <w:rPr>
          <w:rFonts w:cs="Times New Roman" w:ascii="Times New Roman" w:hAnsi="Times New Roman"/>
          <w:b w:val="false"/>
          <w:bCs w:val="false"/>
          <w:color w:val="000000"/>
          <w:sz w:val="28"/>
          <w:szCs w:val="28"/>
          <w:lang w:eastAsia="ru-RU"/>
        </w:rPr>
        <w:t xml:space="preserve"> % - мало, </w:t>
      </w:r>
      <w:r>
        <w:rPr>
          <w:rFonts w:eastAsia="SimSun" w:cs="Times New Roman" w:ascii="Times New Roman" w:hAnsi="Times New Roman"/>
          <w:b w:val="false"/>
          <w:bCs w:val="false"/>
          <w:color w:val="000000"/>
          <w:kern w:val="2"/>
          <w:sz w:val="28"/>
          <w:szCs w:val="28"/>
          <w:lang w:val="ru-RU" w:eastAsia="ru-RU" w:bidi="ar-SA"/>
        </w:rPr>
        <w:t>4</w:t>
      </w:r>
      <w:r>
        <w:rPr>
          <w:rFonts w:cs="Times New Roman" w:ascii="Times New Roman" w:hAnsi="Times New Roman"/>
          <w:b w:val="false"/>
          <w:bCs w:val="false"/>
          <w:color w:val="000000"/>
          <w:sz w:val="28"/>
          <w:szCs w:val="28"/>
          <w:lang w:eastAsia="ru-RU"/>
        </w:rPr>
        <w:t xml:space="preserve"> %, что нет совсем.</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szCs w:val="28"/>
          <w:lang w:eastAsia="en-US"/>
        </w:rPr>
        <w:t>Большинство респондентов (</w:t>
      </w:r>
      <w:r>
        <w:rPr>
          <w:rFonts w:eastAsia="Calibri" w:cs="Times New Roman" w:ascii="Times New Roman" w:hAnsi="Times New Roman"/>
          <w:color w:val="auto"/>
          <w:kern w:val="0"/>
          <w:sz w:val="28"/>
          <w:szCs w:val="28"/>
          <w:lang w:val="ru-RU" w:eastAsia="en-US" w:bidi="ar-SA"/>
        </w:rPr>
        <w:t>79,7</w:t>
      </w:r>
      <w:r>
        <w:rPr>
          <w:rFonts w:eastAsia="Calibri" w:cs="Times New Roman" w:ascii="Times New Roman" w:hAnsi="Times New Roman"/>
          <w:kern w:val="0"/>
          <w:sz w:val="28"/>
          <w:szCs w:val="28"/>
          <w:lang w:eastAsia="en-US"/>
        </w:rPr>
        <w:t xml:space="preserve">%) удовлетворены или скорее удовлетворены уровнем цен, качеством и доступностью услуг, оказываемых хозяйствующими субъектами на товарных рынках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color w:val="auto"/>
          <w:kern w:val="0"/>
          <w:sz w:val="28"/>
          <w:szCs w:val="28"/>
          <w:lang w:val="ru-RU" w:eastAsia="en-US" w:bidi="ar-SA"/>
        </w:rPr>
        <w:t>90</w:t>
      </w:r>
      <w:r>
        <w:rPr>
          <w:rFonts w:eastAsia="Calibri" w:cs="Times New Roman" w:ascii="Times New Roman" w:hAnsi="Times New Roman"/>
          <w:kern w:val="0"/>
          <w:sz w:val="28"/>
          <w:szCs w:val="28"/>
          <w:lang w:eastAsia="en-US"/>
        </w:rPr>
        <w:t xml:space="preserve">% респондентов считают, что уровень цен на услуги в сфере </w:t>
      </w:r>
      <w:r>
        <w:rPr>
          <w:rFonts w:eastAsia="Calibri" w:cs="Times New Roman" w:ascii="Times New Roman" w:hAnsi="Times New Roman"/>
          <w:color w:val="auto"/>
          <w:kern w:val="0"/>
          <w:sz w:val="28"/>
          <w:szCs w:val="28"/>
          <w:lang w:val="ru-RU" w:eastAsia="en-US" w:bidi="ar-SA"/>
        </w:rPr>
        <w:t>ЖКХ</w:t>
      </w:r>
      <w:r>
        <w:rPr>
          <w:rFonts w:eastAsia="Calibri" w:cs="Times New Roman" w:ascii="Times New Roman" w:hAnsi="Times New Roman"/>
          <w:kern w:val="0"/>
          <w:sz w:val="28"/>
          <w:szCs w:val="28"/>
          <w:lang w:eastAsia="en-US"/>
        </w:rPr>
        <w:t xml:space="preserve"> увеличился, </w:t>
      </w:r>
      <w:r>
        <w:rPr>
          <w:rFonts w:eastAsia="Calibri" w:cs="Times New Roman" w:ascii="Times New Roman" w:hAnsi="Times New Roman"/>
          <w:color w:val="auto"/>
          <w:kern w:val="0"/>
          <w:sz w:val="28"/>
          <w:szCs w:val="28"/>
          <w:lang w:val="ru-RU" w:eastAsia="en-US" w:bidi="ar-SA"/>
        </w:rPr>
        <w:t>40</w:t>
      </w:r>
      <w:r>
        <w:rPr>
          <w:rFonts w:eastAsia="Calibri" w:cs="Times New Roman" w:ascii="Times New Roman" w:hAnsi="Times New Roman"/>
          <w:kern w:val="0"/>
          <w:sz w:val="28"/>
          <w:szCs w:val="28"/>
          <w:lang w:eastAsia="en-US"/>
        </w:rPr>
        <w:t xml:space="preserve"> % </w:t>
      </w:r>
      <w:r>
        <w:rPr>
          <w:rFonts w:eastAsia="Calibri" w:cs="Times New Roman" w:ascii="Times New Roman" w:hAnsi="Times New Roman"/>
          <w:color w:val="auto"/>
          <w:kern w:val="0"/>
          <w:sz w:val="28"/>
          <w:szCs w:val="28"/>
          <w:lang w:val="ru-RU" w:eastAsia="en-US" w:bidi="ar-SA"/>
        </w:rPr>
        <w:t>отмечают улучшение</w:t>
      </w:r>
      <w:r>
        <w:rPr>
          <w:rFonts w:eastAsia="Calibri" w:cs="Times New Roman" w:ascii="Times New Roman" w:hAnsi="Times New Roman"/>
          <w:kern w:val="0"/>
          <w:sz w:val="28"/>
          <w:szCs w:val="28"/>
          <w:lang w:eastAsia="en-US"/>
        </w:rPr>
        <w:t xml:space="preserve"> качества и </w:t>
      </w:r>
      <w:r>
        <w:rPr>
          <w:rFonts w:eastAsia="Calibri" w:cs="Times New Roman" w:ascii="Times New Roman" w:hAnsi="Times New Roman"/>
          <w:color w:val="auto"/>
          <w:kern w:val="0"/>
          <w:sz w:val="28"/>
          <w:szCs w:val="28"/>
          <w:lang w:val="ru-RU" w:eastAsia="en-US" w:bidi="ar-SA"/>
        </w:rPr>
        <w:t>43</w:t>
      </w:r>
      <w:r>
        <w:rPr>
          <w:rFonts w:eastAsia="Calibri" w:cs="Times New Roman" w:ascii="Times New Roman" w:hAnsi="Times New Roman"/>
          <w:kern w:val="0"/>
          <w:sz w:val="28"/>
          <w:szCs w:val="28"/>
          <w:lang w:eastAsia="en-US"/>
        </w:rPr>
        <w:t xml:space="preserve"> % - повышение уровня доступности данных услуг. </w:t>
      </w:r>
    </w:p>
    <w:p>
      <w:pPr>
        <w:pStyle w:val="Normal"/>
        <w:widowControl/>
        <w:suppressAutoHyphens w:val="false"/>
        <w:spacing w:lineRule="auto" w:line="240" w:before="0" w:after="0"/>
        <w:ind w:right="-1"/>
        <w:jc w:val="both"/>
        <w:textAlignment w:val="auto"/>
        <w:rPr/>
      </w:pPr>
      <w:r>
        <w:rPr>
          <w:rFonts w:eastAsia="Calibri" w:cs="Times New Roman" w:ascii="Times New Roman" w:hAnsi="Times New Roman"/>
          <w:b/>
          <w:bCs/>
          <w:color w:val="auto"/>
          <w:kern w:val="0"/>
          <w:sz w:val="28"/>
          <w:szCs w:val="28"/>
          <w:lang w:val="ru-RU" w:eastAsia="en-US" w:bidi="ar-SA"/>
        </w:rPr>
        <w:tab/>
      </w:r>
      <w:r>
        <w:rPr>
          <w:rFonts w:eastAsia="Calibri" w:cs="Times New Roman" w:ascii="Times New Roman" w:hAnsi="Times New Roman"/>
          <w:b w:val="false"/>
          <w:bCs w:val="false"/>
          <w:color w:val="auto"/>
          <w:kern w:val="0"/>
          <w:sz w:val="28"/>
          <w:szCs w:val="28"/>
          <w:lang w:val="ru-RU" w:eastAsia="en-US" w:bidi="ar-SA"/>
        </w:rPr>
        <w:t>Сфера ЖКХ 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olor w:val="000000"/>
          <w:kern w:val="0"/>
          <w:sz w:val="28"/>
          <w:szCs w:val="28"/>
          <w:shd w:fill="auto" w:val="clear"/>
          <w:lang w:val="ru-RU" w:eastAsia="en-US" w:bidi="ar-SA"/>
        </w:rPr>
        <w:t>- Рынок теплоснабжения</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0"/>
          <w:rFonts w:eastAsia="Calibri" w:cs="Times New Roman" w:ascii="Times New Roman" w:hAnsi="Times New Roman"/>
          <w:b/>
          <w:bCs/>
          <w:i w:val="false"/>
          <w:color w:val="000000"/>
          <w:kern w:val="0"/>
          <w:sz w:val="28"/>
          <w:szCs w:val="28"/>
          <w:shd w:fill="auto" w:val="clear"/>
          <w:lang w:val="ru-RU" w:eastAsia="en-US" w:bidi="ar-SA"/>
        </w:rPr>
        <w:t>(производство тепловой энергии).</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 xml:space="preserve"> На рынке теплоснабжения (производство тепловой энергии) функционируют 50 котельных и 42,6 км тепловых сетей, как входящих в системы централизованного теплоснабжения, так и ведомственных. 3 основных специализированных предприятия различной формы собственности (АО «Теплосервис» и МУП КГП «Тепловые сети», МКУ «Новоберезанское хозяйственное объединение»). </w:t>
      </w:r>
    </w:p>
    <w:p>
      <w:pPr>
        <w:pStyle w:val="BodyText"/>
        <w:spacing w:lineRule="auto" w:line="240" w:before="0" w:after="0"/>
        <w:jc w:val="both"/>
        <w:rPr/>
      </w:pPr>
      <w:r>
        <w:rPr>
          <w:rStyle w:val="Style20"/>
          <w:rFonts w:eastAsia="Times New Roman" w:cs="Times New Roman" w:ascii="Times New Roman" w:hAnsi="Times New Roman"/>
          <w:b w:val="false"/>
          <w:bCs w:val="false"/>
          <w:i w:val="false"/>
          <w:color w:val="000000"/>
          <w:kern w:val="0"/>
          <w:sz w:val="28"/>
          <w:szCs w:val="28"/>
          <w:shd w:fill="auto" w:val="clear"/>
          <w:lang w:val="ru-RU" w:eastAsia="en-US" w:bidi="ar-SA"/>
        </w:rPr>
        <w:t xml:space="preserve"> </w:t>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ab/>
        <w:t xml:space="preserve">Также на рынке теплоснабжения присутствует ЗАО «Кореновский молочно-консервный комбинат», на балансе которого 2 котельные. Излишки тепловой энергии, полученные в процессе производства, реализуются ОАО «Теплосервис». </w:t>
      </w:r>
    </w:p>
    <w:p>
      <w:pPr>
        <w:pStyle w:val="BodyText"/>
        <w:spacing w:lineRule="auto" w:line="240" w:before="0" w:after="0"/>
        <w:jc w:val="both"/>
        <w:rPr/>
      </w:pPr>
      <w:r>
        <w:rPr>
          <w:rFonts w:eastAsia="Times New Roman" w:cs="Times New Roman" w:ascii="Times New Roman" w:hAnsi="Times New Roman"/>
          <w:sz w:val="26"/>
          <w:szCs w:val="26"/>
          <w:shd w:fill="FFFFFF" w:val="clear"/>
          <w:lang w:eastAsia="ar-SA" w:bidi="ar-SA"/>
        </w:rPr>
        <w:tab/>
      </w: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на территории Кореновского района составила 89,8%.</w:t>
      </w:r>
    </w:p>
    <w:p>
      <w:pPr>
        <w:pStyle w:val="BodyText"/>
        <w:suppressAutoHyphens w:val="false"/>
        <w:spacing w:lineRule="auto" w:line="240" w:before="0" w:after="0"/>
        <w:jc w:val="both"/>
        <w:rPr/>
      </w:pPr>
      <w:r>
        <w:rPr>
          <w:rStyle w:val="Style20"/>
          <w:rFonts w:eastAsia="Calibri" w:cs="Times New Roman" w:ascii="Times New Roman" w:hAnsi="Times New Roman"/>
          <w:b/>
          <w:bCs/>
          <w:i w:val="false"/>
          <w:color w:val="000000"/>
          <w:kern w:val="0"/>
          <w:sz w:val="28"/>
          <w:szCs w:val="28"/>
          <w:shd w:fill="auto" w:val="clear"/>
          <w:lang w:val="ru-RU" w:eastAsia="en-US" w:bidi="ar-SA"/>
        </w:rPr>
        <w:tab/>
        <w:t xml:space="preserve">- Рынок услуг по сбору и транспортировке  твердых коммунальных отходов. </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Состав ТКО теоретически позволяет использовать 60-80% общего объем в  качестве сырья для промышленности (35-45%) или для компостирования (25-35%). </w:t>
      </w:r>
      <w:r>
        <w:rPr>
          <w:rStyle w:val="Style20"/>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Проект по раздельному сбору мусора запущен в Кореновске. На территории города оборудованы площадки для сбора стекла, пластика, бумаги и металла. Внедрение новой системы обращения с твердыми коммунальными отходами должно значительно улучшить экологическую ситуацию. Район закупил в детские сады тематические игрушки. Во время игр малыши тщательно сортируют по разным контейнерам бумагу, стекло, пластик и металл. По словам воспитателей, игрушки не просто являются развлекательными элементами, но и прививают правильную культуру поведения и бережное отношение к экологии.</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iCs/>
          <w:caps w:val="false"/>
          <w:smallCaps w:val="false"/>
          <w:color w:val="000000"/>
          <w:spacing w:val="0"/>
          <w:kern w:val="0"/>
          <w:sz w:val="28"/>
          <w:szCs w:val="28"/>
          <w:shd w:fill="auto" w:val="clear"/>
          <w:lang w:val="ru-RU" w:eastAsia="en-US" w:bidi="ar-SA"/>
        </w:rPr>
        <w:tab/>
        <w:t xml:space="preserve">  Решение «Раздельный сбор мусора в малых городах» проходит стадии одобрения для размещения на платформе «Смартека».</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Сбор и транспортирование ТКО — отрасль жилищно-коммунального хозяйства, в которой возможна развитая конкуренция. В Кореновском районе на рынке сбора и транспортирования ТКО присутствуют 10 частных хозяйствующих субъектов, в том числе основные и крупнейшие — 3.</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 7 марта 2024 года деятельность по сбору и вывозу ТКО осуществляет региональных оператор АО «Мусороуборочная компания».</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ИП Гришаткин Сергей Игоревич (ИНН 233530471397) и ИП Иванько Григорий Николаевич (ИНН 233501405174) предлагают услуги вывоза крупногабаритных отходов на грузовых автомобилях. ИП Довженко Сергей Александрович( ИНН 233500600045) осуществляет прием макулатуры.</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Жители района имеют возможность воспользоваться услугами службы Тандем онлайн, где осуществляют подбор частных специалистов с подходящим грузовым автомобилем или спецтехникой для осуществления вывоза ТКО.</w:t>
      </w:r>
    </w:p>
    <w:p>
      <w:pPr>
        <w:pStyle w:val="Normal"/>
        <w:widowControl/>
        <w:tabs>
          <w:tab w:val="clear" w:pos="708"/>
          <w:tab w:val="left" w:pos="993" w:leader="none"/>
        </w:tabs>
        <w:suppressAutoHyphens w:val="false"/>
        <w:bidi w:val="0"/>
        <w:spacing w:lineRule="auto" w:line="240" w:before="0" w:after="0"/>
        <w:ind w:firstLine="90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Компании «ЭкоМир» г.Краснодар, «Ферратек», «КрасодарВторСнаб» и «КМК» осуществляют прием металлолома на территории Кореновского района.</w:t>
      </w:r>
    </w:p>
    <w:p>
      <w:pPr>
        <w:pStyle w:val="BodyText"/>
        <w:widowControl/>
        <w:tabs>
          <w:tab w:val="clear" w:pos="708"/>
          <w:tab w:val="left" w:pos="993" w:leader="none"/>
        </w:tabs>
        <w:suppressAutoHyphens w:val="false"/>
        <w:bidi w:val="0"/>
        <w:spacing w:lineRule="auto" w:line="240" w:before="0" w:after="0"/>
        <w:ind w:firstLine="708"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каждом доме непременно найдутся устройства, работающие на батарейках. А куда отнести использованные батарейки? Выход есть — это специальные боксы для использованных батареек. В Кореновске такие контейнеры ООО «А Зет» установлены на входах в магазины «Глобус» в районе автостанции, в торговых центрах «Кореновский» и «Квартал».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olor w:val="000000"/>
          <w:kern w:val="0"/>
          <w:sz w:val="28"/>
          <w:szCs w:val="28"/>
          <w:shd w:fill="auto" w:val="clear"/>
          <w:lang w:val="ru-RU" w:eastAsia="en-US" w:bidi="ar-SA"/>
        </w:rPr>
        <w:t>Доля организаций частной формы собственности на данном рынке составляет 100 %.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благоустройству городской среды.</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Ответственными за достижение ключевого показателя являются поселения муниципального образования Кореновский район.</w:t>
      </w:r>
    </w:p>
    <w:p>
      <w:pPr>
        <w:pStyle w:val="Normal"/>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Рынок для выполнения работ по благоустройству территорий в муниципальном образовании Кореновский район формируют субъекты различных форм собственности. В 2024 году в благоустройстве муниципального образования Кореновский район приняли участие 24 организации и индивидуальные предприниматели, в том числе 3 хозяйствующих субъекта муниципальной формы собственности. Доля организаций частной формы собственности в сфере выполнения работ по благоустройству городской среды составила 87,5%.</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выполнения работ по содержанию и текущему ремонту общего имущества собственников помещений в многоквартирном доме.</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Многоквартирный жилищный фонд муниципального образования Кореновский район состоит из 254 МКД, в том числе с центральным отоплением — 162, общей площадью 302,477 тыс. м2.</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Количество УО – 2 и управляемых ими МКД – 48, количество ТСЖ – 6 и управляемых ими МКД – 6, количество МКД, в которых собственниками помещений выбран непосредственный способ управления, – 194.</w:t>
        <w:tab/>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рынке работ по содержанию и текущему ремонту общего имущества собственников помещений в многоквартирном доме Кореновского района присутствуют следующие субъекты деятельности: 6 ТСЖ, ОАО «Теплосервисдом», ООО «Комфортная Кубань».</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Доля хозяйствующих субъектов частной формы собственности на рынке в общем количестве субъектов на данном рынке составляет 100,0%.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Основными проблемами входа на рынок являются: отсутствие единых стандартов управления МКД с учетом мнения собственников; запущенное состояние мест общего пользования МКД; слабая материально-техническая база УО (в том числе из-за игнорирования достаточной частью собственников условий и размера оплаты услуг УО, вследствие чего большой объем работ по досудебному и судебному взысканию сумм долга). Основной задачей на рынке является повышение качества услуг, оказываемых управляющими компаниями.</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поставки сжиженного газа в баллонах.</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Газоснабжение Кореновского района осуществляется природным и сжиженным газом. </w:t>
      </w:r>
    </w:p>
    <w:p>
      <w:pPr>
        <w:pStyle w:val="Style27"/>
        <w:spacing w:lineRule="auto" w:line="240" w:before="0" w:after="0"/>
        <w:ind w:firstLine="696"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состоянию на 31.12.2024 года газифицированными являются 27 населенный пункт, входящий в состав муниципального образования Кореновский район. Учитывая, что 2 населенных пункта в настоящий момент не требуют газификации в связи с численностью населения менее 10 человек в каждом, доля газифицированных населенных пунктов в Кореновском районе составляет 90 %.</w:t>
      </w:r>
    </w:p>
    <w:p>
      <w:pPr>
        <w:pStyle w:val="Style27"/>
        <w:spacing w:lineRule="auto" w:line="240" w:before="0" w:after="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Из общего количества газифицированных населенных пунктов 27 населенных пунктов газифицированы 5 и более лет назад.</w:t>
      </w:r>
    </w:p>
    <w:p>
      <w:pPr>
        <w:pStyle w:val="Style27"/>
        <w:spacing w:lineRule="auto" w:line="240" w:before="0" w:after="0"/>
        <w:rPr>
          <w:rStyle w:val="Style20"/>
          <w:rFonts w:ascii="Times New Roman" w:hAnsi="Times New Roman" w:eastAsia="Calibri" w:cs="Times New Roman"/>
          <w:b w:val="false"/>
          <w:bCs w:val="false"/>
          <w:i w:val="false"/>
          <w:i w:val="false"/>
          <w:caps w:val="false"/>
          <w:smallCaps w:val="false"/>
          <w:color w:val="000000"/>
          <w:spacing w:val="0"/>
          <w:kern w:val="0"/>
          <w:sz w:val="28"/>
          <w:szCs w:val="28"/>
          <w:shd w:fill="auto" w:val="clear"/>
          <w:lang w:val="ru-RU" w:eastAsia="en-US" w:bidi="ar-SA"/>
        </w:rPr>
      </w:pPr>
      <w:r>
        <w:rPr>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r>
    </w:p>
    <w:p>
      <w:pPr>
        <w:pStyle w:val="Style27"/>
        <w:spacing w:lineRule="auto" w:line="240" w:before="0" w:after="0"/>
        <w:ind w:firstLine="706"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Уровень газификации домохозяйств, расположенных на территории населенных пунктов, газифицированных 5 и более лет назад, составляет 91,6%. Минимальный уровень газификации наблюдается в п. Мирном, х. Свободный, х.Казаче-Малеванный (где уровень газификации менее 50%), что связано с большим количеством заброшенных домовладений, которые не подлежат газификации, а так же х. Малеванный, к которому отсутствует подводящий газопровод высокого давления (мероприятия по строительству подводящего газопровода высокого давления будут выполнены АО «Газпром газораспределение Краснодар»).</w:t>
      </w:r>
    </w:p>
    <w:p>
      <w:pPr>
        <w:pStyle w:val="Style27"/>
        <w:spacing w:lineRule="auto" w:line="240" w:before="0" w:after="0"/>
        <w:ind w:firstLine="710"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Общее одиночное протяжение уличной газовой сети составляет 1049605 метров, в том числе:</w:t>
      </w:r>
    </w:p>
    <w:p>
      <w:pPr>
        <w:pStyle w:val="Style27"/>
        <w:spacing w:lineRule="auto" w:line="240" w:before="0" w:after="0"/>
        <w:ind w:firstLine="710" w:left="0"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территории города - 483952 метров,</w:t>
      </w:r>
    </w:p>
    <w:p>
      <w:pPr>
        <w:pStyle w:val="Style27"/>
        <w:suppressAutoHyphens w:val="false"/>
        <w:spacing w:lineRule="auto" w:line="240" w:before="0" w:after="0"/>
        <w:ind w:firstLine="710" w:left="0"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по территории сельских населенных пунктов - 565 653метров.</w:t>
      </w:r>
    </w:p>
    <w:p>
      <w:pPr>
        <w:pStyle w:val="Normal"/>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(5 субъектов деятельности), таким образом, доля организаций частной формы собственности в сфере поставки сжиженного газа в баллонах составляет 100%. </w:t>
      </w:r>
    </w:p>
    <w:p>
      <w:pPr>
        <w:pStyle w:val="Normal"/>
        <w:suppressAutoHyphens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Основной задачей является выведение хозяйствующих субъектов, осуществляющих поставку сжиженного газа в баллонах, из теневого сектора и повышение качества товаров. </w:t>
      </w:r>
    </w:p>
    <w:p>
      <w:pPr>
        <w:pStyle w:val="Normal"/>
        <w:spacing w:lineRule="auto" w:line="240" w:before="0" w:after="0"/>
        <w:ind w:firstLine="708" w:right="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suppressAutoHyphens w:val="false"/>
        <w:spacing w:lineRule="auto" w:line="240" w:before="0" w:after="0"/>
        <w:ind w:firstLine="708"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xml:space="preserve">- ограничение роста тарифов на сжиженный газ, реализуемый населению для бытовых нужд (в соответствии с нормами действующего законодательства розничные цены на сжиженный газ утверждаются органами исполнительной власти субъектов Российской Федерации в области государственного регулирования тарифов) не позволяют в полном объеме обеспечить финансовые потребности организаций, осуществляющих деятельность в данном сегменте рынка. </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водоснабжения и водоотведения.</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На территории Кореновского района ведут свою деятельность 8 муниципальных унитарных предприятий жилищно-коммунального хозяйства, все они являются субъектами естественных монополий в сфере водоснабжения и водоотведения с использованием центральных систем коммунальной инфраструктуры.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Суммарная производительность всех систем водоснабжения Кореновского района составляет 34942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/сутки, в том числе: в Кореновске - 19176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 в сельских воселениях - 15766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pacing w:lineRule="auto" w:line="240" w:before="0" w:after="0"/>
        <w:ind w:firstLine="709"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Максимальное суточное водопотребление в целом по территории Кореновского района составляет 20945,6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сутки.</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Исходя  из   суммарной   суточной   производительности  систем водоснабжения и объема максимального суточного водопотребления, в целом по Кореновскому району наблюдается наличие резерва мощности систем водоснабжения в объеме 13996,4 м</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vertAlign w:val="superscript"/>
          <w:lang w:val="ru-RU" w:eastAsia="en-US" w:bidi="ar-SA"/>
        </w:rPr>
        <w:t>3</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/сутки.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На территории Кореновского района общая протяженность канализационной сети составляет 59,7 километров. Износ основных фондов водоотведения района составляет 65%, обеспеченность населения услугой централизованной канализации составляет 41,3 % (35,3 тысяч человек) в соотношении от общего числа жителей района. Количество канализационных насосных станций — 14.</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xml:space="preserve">Помимо муниципальных унитарных предприятий на территории муниципального образования Кореновский район подъем воды осуществляют 1 хозяйствующих субъекта частной формы собственности, которым в 2024 году подъем и отпуск воды в сети составил: НПХ «Кореновское» - 243,11 тыс. куб. </w:t>
      </w:r>
    </w:p>
    <w:p>
      <w:pPr>
        <w:pStyle w:val="Normal"/>
        <w:spacing w:lineRule="auto" w:line="240" w:before="0" w:after="0"/>
        <w:ind w:firstLine="708" w:right="0"/>
        <w:jc w:val="both"/>
        <w:rPr>
          <w:rFonts w:ascii="Times New Roman" w:hAnsi="Times New Roman" w:eastAsia="Times New Roman" w:cs="Times New Roman"/>
          <w:bCs/>
          <w:iCs/>
          <w:sz w:val="28"/>
          <w:szCs w:val="20"/>
          <w:lang w:eastAsia="ru-RU"/>
        </w:rPr>
      </w:pPr>
      <w:r>
        <w:rPr>
          <w:rFonts w:eastAsia="Times New Roman" w:cs="Times New Roman" w:ascii="Times New Roman" w:hAnsi="Times New Roman"/>
          <w:bCs/>
          <w:iCs/>
          <w:sz w:val="28"/>
          <w:szCs w:val="20"/>
          <w:lang w:eastAsia="ru-RU"/>
        </w:rPr>
        <w:t>Факторы, ограничивающие конкуренцию на рынке:</w:t>
      </w:r>
    </w:p>
    <w:p>
      <w:pPr>
        <w:pStyle w:val="Normal"/>
        <w:spacing w:lineRule="auto" w:line="240" w:before="0" w:after="0"/>
        <w:ind w:firstLine="708" w:right="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низкая рентабельность отрасли, а также ограничение роста тарифов предельными индексами роста платы граждан за коммунальные услуги в соответствии с действующим законодательством в сфере водоснабжения и водоотведения не позволяют в полном объеме обеспечить финансовые потребности организаций коммунального комплекса для выполнения производственных программ, а также реализовывать инвестиционные проекты; </w:t>
      </w:r>
    </w:p>
    <w:p>
      <w:pPr>
        <w:pStyle w:val="Normal"/>
        <w:suppressAutoHyphens w:val="false"/>
        <w:spacing w:lineRule="auto" w:line="240" w:before="0" w:after="0"/>
        <w:ind w:firstLine="708"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0"/>
          <w:shd w:fill="auto" w:val="clear"/>
          <w:lang w:val="ru-RU" w:eastAsia="ru-RU" w:bidi="ar-SA"/>
        </w:rPr>
        <w:t>- недостаточность собственных средств организаций частично компенсируется за счет бюджетного финансирования. Однако государственная поддержка не обеспечивает полной потребности коммунальной отрасли в финансовых ресурсах, а возможности привлечения внебюджетных средств для реализации инвестиционных проектов ограничены в связи с государственным регулированием тарифов, длительными сроками окупаемости проектов.</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8"/>
          <w:shd w:fill="auto" w:val="clear"/>
          <w:lang w:val="ru-RU" w:eastAsia="en-US" w:bidi="ar-SA"/>
        </w:rPr>
        <w:t>- Рынок электроэнергетики.</w:t>
      </w: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 В Кореновском районе функционируют АО «НЭСК-электросети», ПАО «Россети Кубань», оказывающие услуги по передаче электрической энергии. АО «Кореновсксахар» вырабатывает электроэнергию, необходимую для функционирования производства. Излишки электроэнергии предприятие реализует АО «НЭСК-электросети».</w:t>
      </w:r>
    </w:p>
    <w:p>
      <w:pPr>
        <w:pStyle w:val="BodyText"/>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В 2024 году специалисты компании "Россети Кубань" выполнили работы:</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 Питающие центры "Журавская" и "Платнировская" обеспечивают электроэнергией почти 20 тысяч потребителей и 42 социально значимых объекта в восьми населенных пунктах. Именно на этих подстанциях выполнили основную часть работ. В результате повысили надежность электроснабжения двух школ, детсадов, сельской администрации и насосной станции.</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Отремонтировали подстанции "Раздольная", "Платнировская-2" и "Элитная". Там заменили изношенные детали и узлы, провели профилактическое восстановление устройств релейной защиты и автоматики.</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ab/>
        <w:t>Всего в 2024 году для стабильного электроснабжения потребителей Кореновского района энергетики отремонтировали 12 трансформаторных подстанций, заменили 19 опор, 345 изоляторов и более 55 км провода на линиях электропередачи. Для предупреждения технологических нарушений расчистили 52 гектара трасс вдоль ЛЭП.</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8"/>
          <w:shd w:fill="auto" w:val="clear"/>
          <w:lang w:val="ru-RU" w:eastAsia="en-US" w:bidi="ar-SA"/>
        </w:rPr>
        <w:t xml:space="preserve">Износ электрических сетей — 64,1%. Уровень потерь электроэнергии — 13%. Доля организаций частной формы собственности на рынке электроэнергетики составляет 100%. </w:t>
      </w:r>
    </w:p>
    <w:p>
      <w:pPr>
        <w:pStyle w:val="Normal"/>
        <w:suppressAutoHyphens w:val="false"/>
        <w:spacing w:lineRule="auto" w:line="240" w:before="0" w:after="0"/>
        <w:ind w:firstLine="709" w:right="-1"/>
        <w:contextualSpacing/>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uppressAutoHyphens w:val="false"/>
        <w:spacing w:lineRule="auto" w:line="276" w:before="0" w:after="200"/>
        <w:ind w:left="0" w:right="0"/>
        <w:contextualSpacing/>
        <w:jc w:val="center"/>
        <w:textAlignment w:val="auto"/>
        <w:rPr>
          <w:rFonts w:ascii="Times New Roman" w:hAnsi="Times New Roman" w:cs="Times New Roman"/>
          <w:b/>
          <w:bCs/>
          <w:color w:val="000000"/>
          <w:sz w:val="28"/>
          <w:szCs w:val="28"/>
          <w:lang w:val="ru-RU" w:bidi="ar-SA"/>
        </w:rPr>
      </w:pPr>
      <w:r>
        <w:rPr>
          <w:rFonts w:cs="Times New Roman" w:ascii="Times New Roman" w:hAnsi="Times New Roman"/>
          <w:b/>
          <w:bCs/>
          <w:color w:val="000000"/>
          <w:sz w:val="28"/>
          <w:szCs w:val="28"/>
          <w:lang w:val="ru-RU" w:bidi="ar-SA"/>
        </w:rPr>
        <w:t>Анализ развития конкуренции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right="0"/>
        <w:jc w:val="both"/>
        <w:textAlignment w:val="auto"/>
        <w:rPr/>
      </w:pPr>
      <w:r>
        <w:rPr>
          <w:rFonts w:cs="Times New Roman" w:ascii="Times New Roman" w:hAnsi="Times New Roman"/>
          <w:b w:val="false"/>
          <w:bCs w:val="false"/>
          <w:color w:val="000000"/>
          <w:sz w:val="28"/>
          <w:szCs w:val="28"/>
          <w:lang w:val="ru-RU" w:bidi="ar-SA"/>
        </w:rPr>
        <w:t xml:space="preserve">По результатам опроса, </w:t>
      </w:r>
      <w:r>
        <w:rPr>
          <w:rFonts w:eastAsia="SimSun" w:cs="Times New Roman" w:ascii="Times New Roman" w:hAnsi="Times New Roman"/>
          <w:b w:val="false"/>
          <w:bCs w:val="false"/>
          <w:color w:val="000000"/>
          <w:kern w:val="2"/>
          <w:sz w:val="28"/>
          <w:szCs w:val="28"/>
          <w:lang w:val="ru-RU" w:eastAsia="ar-SA" w:bidi="ar-SA"/>
        </w:rPr>
        <w:t>94</w:t>
      </w:r>
      <w:r>
        <w:rPr>
          <w:rFonts w:cs="Times New Roman" w:ascii="Times New Roman" w:hAnsi="Times New Roman"/>
          <w:b w:val="false"/>
          <w:bCs w:val="false"/>
          <w:color w:val="000000"/>
          <w:sz w:val="28"/>
          <w:szCs w:val="28"/>
          <w:lang w:val="ru-RU" w:bidi="ar-SA"/>
        </w:rPr>
        <w:t xml:space="preserve"> % жителей считают, что количество организаций достаточно, </w:t>
      </w:r>
      <w:r>
        <w:rPr>
          <w:rFonts w:eastAsia="SimSun" w:cs="Times New Roman" w:ascii="Times New Roman" w:hAnsi="Times New Roman"/>
          <w:b w:val="false"/>
          <w:bCs w:val="false"/>
          <w:color w:val="000000"/>
          <w:kern w:val="2"/>
          <w:sz w:val="28"/>
          <w:szCs w:val="28"/>
          <w:lang w:val="ru-RU" w:eastAsia="ar-SA" w:bidi="ar-SA"/>
        </w:rPr>
        <w:t>5</w:t>
      </w:r>
      <w:r>
        <w:rPr>
          <w:rFonts w:cs="Times New Roman" w:ascii="Times New Roman" w:hAnsi="Times New Roman"/>
          <w:b w:val="false"/>
          <w:bCs w:val="false"/>
          <w:color w:val="000000"/>
          <w:sz w:val="28"/>
          <w:szCs w:val="28"/>
          <w:lang w:val="ru-RU" w:bidi="ar-SA"/>
        </w:rPr>
        <w:t xml:space="preserve"> %, что мало, 1 %, что нет совсем.</w:t>
      </w:r>
    </w:p>
    <w:p>
      <w:pPr>
        <w:pStyle w:val="Normal"/>
        <w:widowControl/>
        <w:tabs>
          <w:tab w:val="clear" w:pos="708"/>
          <w:tab w:val="left" w:pos="2145" w:leader="none"/>
        </w:tabs>
        <w:suppressAutoHyphens w:val="false"/>
        <w:spacing w:lineRule="auto" w:line="240" w:before="0" w:after="0"/>
        <w:ind w:firstLine="708" w:right="0"/>
        <w:jc w:val="both"/>
        <w:textAlignment w:val="auto"/>
        <w:rPr>
          <w:rFonts w:ascii="Times New Roman" w:hAnsi="Times New Roman" w:eastAsia="Times New Roman" w:cs="Times New Roman"/>
          <w:b w:val="false"/>
          <w:bCs w:val="false"/>
          <w:color w:val="000000"/>
          <w:sz w:val="28"/>
          <w:szCs w:val="20"/>
          <w:lang w:val="ru-RU" w:eastAsia="ru-RU" w:bidi="ar-SA"/>
        </w:rPr>
      </w:pPr>
      <w:r>
        <w:rPr>
          <w:rFonts w:eastAsia="Times New Roman" w:cs="Times New Roman" w:ascii="Times New Roman" w:hAnsi="Times New Roman"/>
          <w:b w:val="false"/>
          <w:bCs w:val="false"/>
          <w:color w:val="000000"/>
          <w:sz w:val="28"/>
          <w:szCs w:val="20"/>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транспортного комплекса.</w:t>
      </w:r>
    </w:p>
    <w:p>
      <w:pPr>
        <w:pStyle w:val="Normal"/>
        <w:widowControl/>
        <w:tabs>
          <w:tab w:val="clear" w:pos="708"/>
          <w:tab w:val="left" w:pos="2145" w:leader="none"/>
        </w:tabs>
        <w:suppressAutoHyphens w:val="false"/>
        <w:spacing w:lineRule="auto" w:line="240" w:before="0" w:after="0"/>
        <w:ind w:firstLine="851" w:right="0"/>
        <w:jc w:val="both"/>
        <w:textAlignment w:val="auto"/>
        <w:rPr>
          <w:rFonts w:ascii="Times New Roman" w:hAnsi="Times New Roman" w:eastAsia="Calibri" w:cs="Times New Roman"/>
          <w:b w:val="false"/>
          <w:bCs w:val="false"/>
          <w:color w:val="000000"/>
          <w:kern w:val="0"/>
          <w:sz w:val="28"/>
          <w:szCs w:val="28"/>
          <w:lang w:val="ru-RU" w:eastAsia="en-US" w:bidi="ar-SA"/>
        </w:rPr>
      </w:pPr>
      <w:r>
        <w:rPr>
          <w:rFonts w:eastAsia="Calibri" w:cs="Times New Roman" w:ascii="Times New Roman" w:hAnsi="Times New Roman"/>
          <w:b w:val="false"/>
          <w:bCs w:val="false"/>
          <w:color w:val="000000"/>
          <w:kern w:val="0"/>
          <w:sz w:val="28"/>
          <w:szCs w:val="28"/>
          <w:lang w:val="ru-RU" w:eastAsia="en-US" w:bidi="ar-SA"/>
        </w:rPr>
        <w:t>Большинство респондентов 76 % считают, что уровень цен на услуги транспортного комплекса увеличился, однако 54 % считают, что увеличилось качество и 59 % доступность данных услуг.</w:t>
      </w:r>
    </w:p>
    <w:p>
      <w:pPr>
        <w:pStyle w:val="Normal"/>
        <w:widowControl/>
        <w:tabs>
          <w:tab w:val="clear" w:pos="708"/>
          <w:tab w:val="left" w:pos="2145" w:leader="none"/>
        </w:tabs>
        <w:suppressAutoHyphens w:val="false"/>
        <w:spacing w:lineRule="auto" w:line="240" w:before="0" w:after="0"/>
        <w:ind w:firstLine="708" w:right="0"/>
        <w:jc w:val="both"/>
        <w:textAlignment w:val="auto"/>
        <w:rPr/>
      </w:pPr>
      <w:r>
        <w:rPr>
          <w:rFonts w:eastAsia="Times New Roman" w:cs="Times New Roman" w:ascii="Times New Roman" w:hAnsi="Times New Roman"/>
          <w:b w:val="false"/>
          <w:bCs w:val="false"/>
          <w:color w:val="000000"/>
          <w:kern w:val="2"/>
          <w:sz w:val="28"/>
          <w:szCs w:val="20"/>
          <w:lang w:val="ru-RU" w:eastAsia="ru-RU" w:bidi="ar-SA"/>
        </w:rPr>
        <w:t>29</w:t>
      </w:r>
      <w:r>
        <w:rPr>
          <w:rFonts w:eastAsia="Times New Roman" w:cs="Times New Roman" w:ascii="Times New Roman" w:hAnsi="Times New Roman"/>
          <w:b w:val="false"/>
          <w:bCs w:val="false"/>
          <w:color w:val="000000"/>
          <w:sz w:val="28"/>
          <w:szCs w:val="20"/>
          <w:lang w:val="ru-RU" w:eastAsia="ru-RU" w:bidi="ar-SA"/>
        </w:rPr>
        <w:t xml:space="preserve"> % респондентов пользуются транспортом один или несколько раз в неделю.</w:t>
      </w:r>
    </w:p>
    <w:p>
      <w:pPr>
        <w:pStyle w:val="Normal"/>
        <w:widowControl/>
        <w:tabs>
          <w:tab w:val="clear" w:pos="708"/>
          <w:tab w:val="left" w:pos="2145" w:leader="none"/>
        </w:tabs>
        <w:suppressAutoHyphens w:val="false"/>
        <w:spacing w:lineRule="auto" w:line="240" w:before="0" w:after="0"/>
        <w:ind w:firstLine="709" w:right="0"/>
        <w:jc w:val="both"/>
        <w:textAlignment w:val="auto"/>
        <w:rPr>
          <w:rFonts w:ascii="Times New Roman" w:hAnsi="Times New Roman" w:eastAsia="Times New Roman" w:cs="Times New Roman"/>
          <w:b w:val="false"/>
          <w:bCs w:val="false"/>
          <w:color w:val="000000"/>
          <w:sz w:val="28"/>
          <w:szCs w:val="20"/>
          <w:lang w:val="ru-RU" w:eastAsia="ru-RU" w:bidi="ar-SA"/>
        </w:rPr>
      </w:pPr>
      <w:r>
        <w:rPr>
          <w:rFonts w:eastAsia="Times New Roman" w:cs="Times New Roman" w:ascii="Times New Roman" w:hAnsi="Times New Roman"/>
          <w:b w:val="false"/>
          <w:bCs w:val="false"/>
          <w:color w:val="000000"/>
          <w:sz w:val="28"/>
          <w:szCs w:val="20"/>
          <w:lang w:val="ru-RU" w:eastAsia="ru-RU" w:bidi="ar-SA"/>
        </w:rPr>
        <w:t>Большинство респондентов 65,7 % оценили работу общественного транспорта, как «хорошую» и «скорее хорошую».</w:t>
      </w:r>
    </w:p>
    <w:p>
      <w:pPr>
        <w:pStyle w:val="Normal"/>
        <w:widowControl/>
        <w:tabs>
          <w:tab w:val="clear" w:pos="708"/>
          <w:tab w:val="left" w:pos="2145" w:leader="none"/>
        </w:tabs>
        <w:suppressAutoHyphens w:val="false"/>
        <w:spacing w:lineRule="auto" w:line="240" w:before="0" w:after="0"/>
        <w:ind w:firstLine="709" w:right="0"/>
        <w:jc w:val="both"/>
        <w:textAlignment w:val="auto"/>
        <w:rPr/>
      </w:pPr>
      <w:r>
        <w:rPr>
          <w:rFonts w:eastAsia="Times New Roman" w:cs="Times New Roman" w:ascii="Times New Roman" w:hAnsi="Times New Roman"/>
          <w:b w:val="false"/>
          <w:bCs w:val="false"/>
          <w:color w:val="000000"/>
          <w:kern w:val="2"/>
          <w:sz w:val="28"/>
          <w:szCs w:val="20"/>
          <w:lang w:val="ru-RU" w:eastAsia="ru-RU" w:bidi="ar-SA"/>
        </w:rPr>
        <w:t>19,4</w:t>
      </w:r>
      <w:r>
        <w:rPr>
          <w:rFonts w:eastAsia="Times New Roman" w:cs="Times New Roman" w:ascii="Times New Roman" w:hAnsi="Times New Roman"/>
          <w:b w:val="false"/>
          <w:bCs w:val="false"/>
          <w:color w:val="000000"/>
          <w:sz w:val="28"/>
          <w:szCs w:val="20"/>
          <w:lang w:val="ru-RU" w:eastAsia="ru-RU" w:bidi="ar-SA"/>
        </w:rPr>
        <w:t xml:space="preserve">% опрошенных </w:t>
      </w:r>
      <w:r>
        <w:rPr>
          <w:rFonts w:eastAsia="Times New Roman" w:cs="Times New Roman" w:ascii="Times New Roman" w:hAnsi="Times New Roman"/>
          <w:b w:val="false"/>
          <w:bCs w:val="false"/>
          <w:color w:val="000000"/>
          <w:kern w:val="2"/>
          <w:sz w:val="28"/>
          <w:szCs w:val="20"/>
          <w:lang w:val="ru-RU" w:eastAsia="ru-RU" w:bidi="ar-SA"/>
        </w:rPr>
        <w:t>вынуждены делать пересадки между маршрутами.</w:t>
      </w:r>
    </w:p>
    <w:p>
      <w:pPr>
        <w:pStyle w:val="Normal"/>
        <w:widowControl/>
        <w:tabs>
          <w:tab w:val="clear" w:pos="708"/>
          <w:tab w:val="left" w:pos="2145" w:leader="none"/>
        </w:tabs>
        <w:suppressAutoHyphens w:val="false"/>
        <w:spacing w:lineRule="auto" w:line="240" w:before="0" w:after="0"/>
        <w:ind w:firstLine="709" w:right="0"/>
        <w:jc w:val="both"/>
        <w:textAlignment w:val="auto"/>
        <w:rPr>
          <w:rFonts w:ascii="Times New Roman" w:hAnsi="Times New Roman" w:eastAsia="Times New Roman" w:cs="Times New Roman"/>
          <w:b w:val="false"/>
          <w:bCs w:val="false"/>
          <w:color w:val="000000"/>
          <w:sz w:val="28"/>
          <w:szCs w:val="20"/>
          <w:lang w:val="ru-RU" w:eastAsia="ru-RU" w:bidi="ar-SA"/>
        </w:rPr>
      </w:pPr>
      <w:r>
        <w:rPr>
          <w:rFonts w:eastAsia="Times New Roman" w:cs="Times New Roman" w:ascii="Times New Roman" w:hAnsi="Times New Roman"/>
          <w:b w:val="false"/>
          <w:bCs w:val="false"/>
          <w:color w:val="000000"/>
          <w:sz w:val="28"/>
          <w:szCs w:val="20"/>
          <w:lang w:val="ru-RU" w:eastAsia="ru-RU" w:bidi="ar-SA"/>
        </w:rPr>
        <w:t>Большинство респондентов «удовлетворены» и «скорее удовлетворены» качеством услуг по всем видам транспорта.</w:t>
      </w:r>
    </w:p>
    <w:p>
      <w:pPr>
        <w:pStyle w:val="Normal"/>
        <w:widowControl/>
        <w:tabs>
          <w:tab w:val="clear" w:pos="708"/>
          <w:tab w:val="left" w:pos="1197" w:leader="none"/>
        </w:tabs>
        <w:suppressAutoHyphens w:val="false"/>
        <w:spacing w:lineRule="auto" w:line="240" w:before="0" w:after="0"/>
        <w:ind w:firstLine="720" w:right="0"/>
        <w:jc w:val="both"/>
        <w:textAlignment w:val="auto"/>
        <w:rPr>
          <w:rFonts w:ascii="Times New Roman" w:hAnsi="Times New Roman" w:eastAsia="Times New Roman" w:cs="Times New Roman"/>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Большинство респондентов-представителей бизнеса, 91 %, считают, что на уровень эффективности логистических процессов влияет нестабильная макроэкономическая ситуация в стране, 7 % - уровень образования в сфере логистики.</w:t>
      </w:r>
    </w:p>
    <w:p>
      <w:pPr>
        <w:pStyle w:val="Normal"/>
        <w:suppressAutoHyphens w:val="false"/>
        <w:spacing w:lineRule="auto" w:line="240" w:before="0" w:after="0"/>
        <w:ind w:firstLine="709" w:right="-1"/>
        <w:contextualSpacing/>
        <w:jc w:val="both"/>
        <w:rPr/>
      </w:pPr>
      <w:r>
        <w:rPr>
          <w:rStyle w:val="Style20"/>
          <w:rFonts w:eastAsia="Times New Roman" w:cs="Times New Roman" w:ascii="Times New Roman" w:hAnsi="Times New Roman"/>
          <w:b w:val="false"/>
          <w:bCs w:val="false"/>
          <w:i w:val="false"/>
          <w:color w:val="000000"/>
          <w:kern w:val="2"/>
          <w:sz w:val="28"/>
          <w:szCs w:val="20"/>
          <w:shd w:fill="auto" w:val="clear"/>
          <w:lang w:val="ru-RU" w:eastAsia="ru-RU" w:bidi="ar-SA"/>
        </w:rPr>
        <w:t>Транспортный комплекс в муниципальном образовании Кореновский район включает следующие товарные рынки:</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bCs/>
          <w:i w:val="false"/>
          <w:color w:val="000000"/>
          <w:kern w:val="2"/>
          <w:sz w:val="28"/>
          <w:szCs w:val="20"/>
          <w:shd w:fill="auto" w:val="clear"/>
          <w:lang w:val="ru-RU" w:eastAsia="ru-RU" w:bidi="ar-SA"/>
        </w:rPr>
        <w:t xml:space="preserve">- </w:t>
      </w:r>
      <w:r>
        <w:rPr>
          <w:rFonts w:eastAsia="Times New Roman" w:cs="Times New Roman" w:ascii="Times New Roman" w:hAnsi="Times New Roman"/>
          <w:b/>
          <w:bCs/>
          <w:color w:val="000000"/>
          <w:kern w:val="2"/>
          <w:sz w:val="28"/>
          <w:szCs w:val="20"/>
          <w:lang w:val="ru-RU" w:eastAsia="ru-RU" w:bidi="ar-SA"/>
        </w:rPr>
        <w:t>Рынок оказания услуг по перевозке пассажиров автомобильным транспортом по муниципальным маршрутам регулярных перевозок.</w:t>
      </w:r>
      <w:r>
        <w:rPr>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общего пользования по территории Кореновского района</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составляет 818</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в том числе:</w:t>
      </w:r>
    </w:p>
    <w:p>
      <w:pPr>
        <w:pStyle w:val="Style39"/>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(636,2 - в асфальте, 37,4 км. - грунтовых дорог);</w:t>
      </w:r>
    </w:p>
    <w:p>
      <w:pPr>
        <w:pStyle w:val="Style39"/>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color w:val="000000"/>
          <w:spacing w:val="2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(136,4 км. - в асфальте, 0 км. - грунтовых дорог).</w:t>
      </w:r>
    </w:p>
    <w:p>
      <w:pPr>
        <w:pStyle w:val="NormalWeb"/>
        <w:spacing w:lineRule="auto" w:line="240" w:before="0" w:after="0"/>
        <w:ind w:firstLine="709" w:right="0"/>
        <w:jc w:val="both"/>
        <w:rPr/>
      </w:pPr>
      <w:r>
        <w:rPr>
          <w:rFonts w:eastAsia="Times New Roman" w:cs="Times New Roman"/>
          <w:b w:val="false"/>
          <w:bCs w:val="false"/>
          <w:color w:val="000000"/>
          <w:kern w:val="2"/>
          <w:sz w:val="28"/>
          <w:szCs w:val="20"/>
          <w:lang w:val="ru-RU" w:eastAsia="ru-RU" w:bidi="ar-SA"/>
        </w:rPr>
        <w:t>На территории Кореновского района действуют 17</w:t>
      </w:r>
      <w:r>
        <w:rPr>
          <w:rFonts w:eastAsia="Times New Roman" w:cs="Times New Roman"/>
          <w:b w:val="false"/>
          <w:bCs w:val="false"/>
          <w:iCs/>
          <w:color w:val="000000"/>
          <w:kern w:val="2"/>
          <w:sz w:val="28"/>
          <w:szCs w:val="20"/>
          <w:lang w:val="ru-RU" w:eastAsia="ru-RU" w:bidi="ar-SA"/>
        </w:rPr>
        <w:t xml:space="preserve"> </w:t>
      </w:r>
      <w:r>
        <w:rPr>
          <w:rFonts w:eastAsia="Times New Roman" w:cs="Times New Roman"/>
          <w:b w:val="false"/>
          <w:bCs w:val="false"/>
          <w:color w:val="000000"/>
          <w:kern w:val="2"/>
          <w:sz w:val="28"/>
          <w:szCs w:val="20"/>
          <w:lang w:val="ru-RU" w:eastAsia="ru-RU" w:bidi="ar-SA"/>
        </w:rPr>
        <w:t>маршрутов общественного транспорт</w:t>
      </w:r>
      <w:r>
        <w:rPr>
          <w:sz w:val="28"/>
          <w:szCs w:val="28"/>
        </w:rPr>
        <w:t>а, которые соединяют между собой 27</w:t>
      </w:r>
      <w:r>
        <w:rPr>
          <w:iCs/>
          <w:sz w:val="28"/>
          <w:szCs w:val="28"/>
        </w:rPr>
        <w:t xml:space="preserve"> </w:t>
      </w:r>
      <w:r>
        <w:rPr>
          <w:sz w:val="28"/>
          <w:szCs w:val="28"/>
        </w:rPr>
        <w:t xml:space="preserve">населенных пунктов, которые расположены непосредственно на маршрутах. </w:t>
      </w:r>
    </w:p>
    <w:p>
      <w:pPr>
        <w:pStyle w:val="NormalWeb"/>
        <w:spacing w:lineRule="auto" w:line="240" w:before="0" w:after="0"/>
        <w:ind w:firstLine="709" w:right="0"/>
        <w:jc w:val="both"/>
        <w:rPr>
          <w:sz w:val="28"/>
          <w:szCs w:val="28"/>
        </w:rPr>
      </w:pPr>
      <w:r>
        <w:rPr>
          <w:sz w:val="28"/>
          <w:szCs w:val="28"/>
        </w:rPr>
        <w:t xml:space="preserve">Из общего количества маршрутов общественного транспорта: </w:t>
      </w:r>
    </w:p>
    <w:p>
      <w:pPr>
        <w:pStyle w:val="NormalWeb"/>
        <w:spacing w:lineRule="auto" w:line="240" w:before="0" w:after="0"/>
        <w:ind w:firstLine="709" w:right="0"/>
        <w:jc w:val="both"/>
        <w:rPr/>
      </w:pPr>
      <w:r>
        <w:rPr>
          <w:iCs/>
          <w:sz w:val="28"/>
          <w:szCs w:val="28"/>
        </w:rPr>
        <w:t xml:space="preserve">6 </w:t>
      </w:r>
      <w:r>
        <w:rPr>
          <w:sz w:val="28"/>
          <w:szCs w:val="28"/>
        </w:rPr>
        <w:t xml:space="preserve">маршрутов - ежедневные; </w:t>
      </w:r>
    </w:p>
    <w:p>
      <w:pPr>
        <w:pStyle w:val="NormalWeb"/>
        <w:spacing w:lineRule="auto" w:line="240" w:before="0" w:after="0"/>
        <w:ind w:firstLine="709" w:right="0"/>
        <w:jc w:val="both"/>
        <w:rPr/>
      </w:pPr>
      <w:r>
        <w:rPr>
          <w:sz w:val="28"/>
          <w:szCs w:val="28"/>
        </w:rPr>
        <w:t>9</w:t>
      </w:r>
      <w:r>
        <w:rPr>
          <w:iCs/>
          <w:sz w:val="28"/>
          <w:szCs w:val="28"/>
        </w:rPr>
        <w:t xml:space="preserve"> </w:t>
      </w:r>
      <w:r>
        <w:rPr>
          <w:sz w:val="28"/>
          <w:szCs w:val="28"/>
        </w:rPr>
        <w:t xml:space="preserve">маршрутов - между ОНП и ПНП; </w:t>
      </w:r>
    </w:p>
    <w:p>
      <w:pPr>
        <w:pStyle w:val="NormalWeb"/>
        <w:spacing w:lineRule="auto" w:line="240" w:before="0" w:after="0"/>
        <w:ind w:firstLine="709" w:right="0"/>
        <w:jc w:val="both"/>
        <w:rPr/>
      </w:pPr>
      <w:r>
        <w:rPr>
          <w:sz w:val="28"/>
          <w:szCs w:val="28"/>
        </w:rPr>
        <w:t>9</w:t>
      </w:r>
      <w:r>
        <w:rPr>
          <w:iCs/>
          <w:sz w:val="28"/>
          <w:szCs w:val="28"/>
        </w:rPr>
        <w:t xml:space="preserve"> </w:t>
      </w:r>
      <w:r>
        <w:rPr>
          <w:sz w:val="28"/>
          <w:szCs w:val="28"/>
        </w:rPr>
        <w:t>маршрут - между ПНП.</w:t>
      </w:r>
    </w:p>
    <w:p>
      <w:pPr>
        <w:pStyle w:val="Style211"/>
        <w:suppressAutoHyphens w:val="false"/>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8"/>
          <w:lang w:val="ru-RU" w:eastAsia="ru-RU" w:bidi="ar-SA"/>
        </w:rPr>
        <w:t>Общая численность населения Кореновского района, охваченная автомобильным сообщением по маршрутам общественного транспорта, составляет 83363</w:t>
      </w:r>
      <w:r>
        <w:rPr>
          <w:rStyle w:val="FontStyle50"/>
          <w:rFonts w:eastAsia="Times New Roman" w:cs="Times New Roman" w:ascii="Times New Roman" w:hAnsi="Times New Roman"/>
          <w:b w:val="false"/>
          <w:bCs w:val="false"/>
          <w:color w:val="000000"/>
          <w:kern w:val="2"/>
          <w:sz w:val="28"/>
          <w:szCs w:val="28"/>
          <w:lang w:val="ru-RU" w:eastAsia="ru-RU" w:bidi="ar-SA"/>
        </w:rPr>
        <w:t xml:space="preserve"> </w:t>
      </w:r>
      <w:r>
        <w:rPr>
          <w:rStyle w:val="FontStyle52"/>
          <w:rFonts w:eastAsia="Times New Roman" w:cs="Times New Roman" w:ascii="Times New Roman" w:hAnsi="Times New Roman"/>
          <w:b w:val="false"/>
          <w:bCs w:val="false"/>
          <w:color w:val="000000"/>
          <w:kern w:val="2"/>
          <w:sz w:val="28"/>
          <w:szCs w:val="28"/>
          <w:lang w:val="ru-RU" w:eastAsia="ru-RU" w:bidi="ar-SA"/>
        </w:rPr>
        <w:t>человек, или 100 %.</w:t>
      </w:r>
    </w:p>
    <w:p>
      <w:pPr>
        <w:pStyle w:val="Normal"/>
        <w:suppressAutoHyphens w:val="false"/>
        <w:spacing w:lineRule="auto" w:line="240" w:before="0" w:after="0"/>
        <w:jc w:val="both"/>
        <w:rPr>
          <w:rFonts w:ascii="Times New Roman" w:hAnsi="Times New Roman" w:eastAsia="Times New Roman" w:cs="Times New Roman"/>
          <w:b w:val="false"/>
          <w:bCs w:val="false"/>
          <w:color w:val="000000"/>
          <w:kern w:val="2"/>
          <w:sz w:val="28"/>
          <w:szCs w:val="20"/>
          <w:lang w:val="ru-RU" w:eastAsia="ru-RU" w:bidi="ar-SA"/>
        </w:rPr>
      </w:pPr>
      <w:r>
        <w:rPr>
          <w:rFonts w:eastAsia="Times New Roman" w:cs="Times New Roman" w:ascii="Times New Roman" w:hAnsi="Times New Roman"/>
          <w:b w:val="false"/>
          <w:bCs w:val="false"/>
          <w:color w:val="000000"/>
          <w:kern w:val="2"/>
          <w:sz w:val="28"/>
          <w:szCs w:val="20"/>
          <w:lang w:val="ru-RU" w:eastAsia="ru-RU" w:bidi="ar-SA"/>
        </w:rPr>
        <w:tab/>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kern w:val="2"/>
          <w:sz w:val="28"/>
          <w:szCs w:val="20"/>
          <w:lang w:val="ru-RU" w:eastAsia="ru-RU" w:bidi="ar-SA"/>
        </w:rPr>
        <w:tab/>
        <w:t xml:space="preserve">Транспортное обслуживание населения в муниципальном образовании Кореновский район, согласно договора на осуществление перевозок пассажиров и багажа автомобильным транспортом общего пользования по маршрутам муниципального пригородного сообщения и маршрутам городского значения обеспечивают следующие перевозчики: НАО «Кореновское АТП», ИП Саньков Александр Валентинович (ИНН </w:t>
      </w:r>
      <w:bookmarkStart w:id="0" w:name="req_inn"/>
      <w:bookmarkEnd w:id="0"/>
      <w:r>
        <w:rPr>
          <w:rFonts w:eastAsia="Times New Roman" w:cs="Times New Roman" w:ascii="Times New Roman" w:hAnsi="Times New Roman"/>
          <w:b w:val="false"/>
          <w:bCs w:val="false"/>
          <w:color w:val="000000"/>
          <w:kern w:val="2"/>
          <w:sz w:val="28"/>
          <w:szCs w:val="20"/>
          <w:lang w:val="ru-RU" w:eastAsia="ru-RU" w:bidi="ar-SA"/>
        </w:rPr>
        <w:t>235600581537), ИП Борцов Сергей Владимирович (ИНН 010605006808).</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kern w:val="2"/>
          <w:sz w:val="28"/>
          <w:szCs w:val="20"/>
          <w:lang w:val="ru-RU" w:eastAsia="ru-RU" w:bidi="ar-SA"/>
        </w:rPr>
        <w:tab/>
      </w:r>
      <w:r>
        <w:rPr>
          <w:rStyle w:val="Style20"/>
          <w:rFonts w:eastAsia="Times New Roman" w:cs="Times New Roman" w:ascii="Times New Roman" w:hAnsi="Times New Roman"/>
          <w:b/>
          <w:bCs/>
          <w:i w:val="false"/>
          <w:color w:val="000000"/>
          <w:kern w:val="2"/>
          <w:sz w:val="28"/>
          <w:szCs w:val="20"/>
          <w:shd w:fill="auto" w:val="clear"/>
          <w:lang w:val="ru-RU" w:eastAsia="ru-RU" w:bidi="ar-SA"/>
        </w:rPr>
        <w:t xml:space="preserve">- </w:t>
      </w:r>
      <w:r>
        <w:rPr>
          <w:rStyle w:val="Style20"/>
          <w:rFonts w:eastAsia="Times New Roman" w:cs="Times New Roman" w:ascii="Times New Roman" w:hAnsi="Times New Roman"/>
          <w:b/>
          <w:bCs/>
          <w:i w:val="false"/>
          <w:caps w:val="false"/>
          <w:smallCaps w:val="false"/>
          <w:color w:val="000000"/>
          <w:spacing w:val="0"/>
          <w:kern w:val="2"/>
          <w:sz w:val="28"/>
          <w:szCs w:val="20"/>
          <w:shd w:fill="auto" w:val="clear"/>
          <w:lang w:val="ru-RU" w:eastAsia="ru-RU" w:bidi="ar-SA"/>
        </w:rPr>
        <w:t>Рынок оказания услуг по перевозке пассажиров автомобильным транспортом по межмуниципальным маршрутам регулярных перевозок.</w:t>
      </w: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Услуги по перевозке пассажиров автомобильным транспортом по межмуниципальным маршрутам регулярных перевозок на территории Кореновского района </w:t>
      </w:r>
      <w:r>
        <w:rPr>
          <w:rFonts w:eastAsia="Times New Roman" w:cs="Times New Roman" w:ascii="Times New Roman" w:hAnsi="Times New Roman"/>
          <w:b w:val="false"/>
          <w:bCs w:val="false"/>
          <w:color w:val="000000"/>
          <w:kern w:val="2"/>
          <w:sz w:val="28"/>
          <w:szCs w:val="20"/>
          <w:lang w:val="ru-RU" w:eastAsia="ru-RU" w:bidi="ar-SA"/>
        </w:rPr>
        <w:t xml:space="preserve">обеспечивают следующие перевозчики: НАО «Кореновское АТП», ИП Лебединский Алексей Владимирович (ИНН </w:t>
      </w:r>
      <w:bookmarkStart w:id="1" w:name="req_inn41"/>
      <w:bookmarkEnd w:id="1"/>
      <w:r>
        <w:rPr>
          <w:rFonts w:eastAsia="Times New Roman" w:cs="Times New Roman" w:ascii="Times New Roman" w:hAnsi="Times New Roman"/>
          <w:b w:val="false"/>
          <w:bCs w:val="false"/>
          <w:color w:val="000000"/>
          <w:kern w:val="2"/>
          <w:sz w:val="28"/>
          <w:szCs w:val="20"/>
          <w:lang w:val="ru-RU" w:eastAsia="ru-RU" w:bidi="ar-SA"/>
        </w:rPr>
        <w:t>233500317408), АО «Кубаньпассажиравтосервис» (ИНН 2309008827).</w:t>
      </w:r>
    </w:p>
    <w:p>
      <w:pPr>
        <w:pStyle w:val="NoSpacing"/>
        <w:widowControl/>
        <w:tabs>
          <w:tab w:val="clear" w:pos="708"/>
          <w:tab w:val="left" w:pos="993" w:leader="none"/>
        </w:tabs>
        <w:suppressAutoHyphens w:val="false"/>
        <w:bidi w:val="0"/>
        <w:spacing w:lineRule="auto" w:line="240" w:before="0" w:after="0"/>
        <w:ind w:firstLine="708" w:right="0"/>
        <w:jc w:val="both"/>
        <w:rPr>
          <w:rFonts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b w:val="false"/>
          <w:bCs w:val="false"/>
          <w:i w:val="false"/>
          <w:caps w:val="false"/>
          <w:smallCaps w:val="false"/>
          <w:color w:val="000000"/>
          <w:spacing w:val="0"/>
          <w:kern w:val="2"/>
          <w:sz w:val="28"/>
          <w:szCs w:val="20"/>
          <w:shd w:fill="auto" w:val="clear"/>
          <w:lang w:val="ru-RU" w:eastAsia="ru-RU" w:bidi="ar-SA"/>
        </w:rPr>
        <w:t xml:space="preserve">НАО «Кореновское АТП» осуществляет перевозку пассажиров по двум межмуниципальным пригородным маршрутам и трем межмуниципальным междугородным маршрутам. ИП Лебединский Алексей Владимирович осуществляет перевозки по 2  маршрутам. Среднее число автобусов в день - 11. АО «Кубаньпассажиравтосервис» осуществляет перевозки по 4 маршрутам через автовокзал в Кореновске (около 20 рейсов ежедневно). </w:t>
      </w:r>
    </w:p>
    <w:p>
      <w:pPr>
        <w:pStyle w:val="Normal"/>
        <w:suppressAutoHyphens w:val="false"/>
        <w:spacing w:lineRule="auto" w:line="240" w:before="0" w:after="0"/>
        <w:jc w:val="both"/>
        <w:rPr/>
      </w:pPr>
      <w:r>
        <w:rPr>
          <w:rFonts w:eastAsia="Times New Roman" w:cs="Times New Roman" w:ascii="Times New Roman" w:hAnsi="Times New Roman"/>
          <w:b w:val="false"/>
          <w:bCs w:val="false"/>
          <w:color w:val="000000"/>
          <w:kern w:val="2"/>
          <w:sz w:val="28"/>
          <w:szCs w:val="20"/>
          <w:lang w:val="ru-RU" w:eastAsia="ru-RU" w:bidi="ar-SA"/>
        </w:rPr>
        <w:t xml:space="preserve">     </w:t>
      </w:r>
      <w:r>
        <w:rPr>
          <w:rFonts w:eastAsia="Times New Roman" w:cs="Times New Roman" w:ascii="Times New Roman" w:hAnsi="Times New Roman"/>
          <w:b w:val="false"/>
          <w:bCs w:val="false"/>
          <w:color w:val="000000"/>
          <w:kern w:val="2"/>
          <w:sz w:val="28"/>
          <w:szCs w:val="20"/>
          <w:lang w:val="ru-RU" w:eastAsia="ru-RU" w:bidi="ar-SA"/>
        </w:rPr>
        <w:tab/>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pPr>
      <w:r>
        <w:rPr>
          <w:rFonts w:cs="Times New Roman" w:ascii="Times New Roman" w:hAnsi="Times New Roman"/>
          <w:sz w:val="26"/>
          <w:szCs w:val="26"/>
        </w:rPr>
        <w:tab/>
      </w:r>
      <w:r>
        <w:rPr>
          <w:rFonts w:eastAsia="Times New Roman" w:cs="Times New Roman" w:ascii="Times New Roman" w:hAnsi="Times New Roman"/>
          <w:b/>
          <w:bCs/>
          <w:i w:val="false"/>
          <w:caps w:val="false"/>
          <w:smallCaps w:val="false"/>
          <w:color w:val="000000"/>
          <w:spacing w:val="0"/>
          <w:kern w:val="2"/>
          <w:sz w:val="28"/>
          <w:szCs w:val="20"/>
          <w:shd w:fill="auto" w:val="clear"/>
          <w:lang w:val="ru-RU" w:eastAsia="ru-RU" w:bidi="ar-SA"/>
        </w:rPr>
        <w:t>- Рынок оказания услуг по перевозке пассажиров и багажа легковым такси.</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В настоящее время на территории муниципального образования Кореновский район осуществляет деятельность</w:t>
      </w:r>
      <w:r>
        <w:rPr>
          <w:rFonts w:eastAsia="Times New Roman" w:cs="Times New Roman" w:ascii="Times New Roman" w:hAnsi="Times New Roman"/>
          <w:b w:val="false"/>
          <w:bCs w:val="false"/>
          <w:i w:val="false"/>
          <w:caps w:val="false"/>
          <w:smallCaps w:val="false"/>
          <w:color w:val="000000"/>
          <w:spacing w:val="0"/>
          <w:kern w:val="2"/>
          <w:sz w:val="28"/>
          <w:szCs w:val="20"/>
          <w:u w:val="none"/>
          <w:shd w:fill="auto" w:val="clear"/>
          <w:lang w:val="ru-RU" w:eastAsia="ru-RU" w:bidi="ar-SA"/>
        </w:rPr>
        <w:t xml:space="preserve"> 6 субъектов хозяйствования</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(ООО «Антаратрансгрупп» (ИНН 2373014923) — 9 транспортных средств (далее - ТС), ИП Балаценко Галина Даниловна (ИНН 233500319980) — 1 ТС, ИП Жмырь Роман Васильевич (ИНН 233502783073) — 2 ТС, ИП Калмыков Артем Александрович (ИНН 233530695735) — 13 ТС, ИП ИП Афонина Анна Ивановна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2"/>
          <w:sz w:val="28"/>
          <w:szCs w:val="20"/>
          <w:u w:val="none"/>
          <w:shd w:fill="auto" w:val="clear"/>
          <w:em w:val="none"/>
          <w:lang w:val="ru-RU" w:eastAsia="ru-RU" w:bidi="ar-SA"/>
        </w:rPr>
        <w:t>233507640181)</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 1 ТС, ИП Мурадов Владимир Георгиевич (ИНН </w:t>
      </w:r>
      <w:r>
        <w:rPr>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2"/>
          <w:sz w:val="28"/>
          <w:szCs w:val="20"/>
          <w:u w:val="none"/>
          <w:shd w:fill="auto" w:val="clear"/>
          <w:em w:val="none"/>
          <w:lang w:val="ru-RU" w:eastAsia="ru-RU" w:bidi="ar-SA"/>
        </w:rPr>
        <w:t>233507512800) — 1 ТС,</w:t>
      </w: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 осуществляющих деятельность по перевозке пассажиров и багажа легковыми такси. Министерством транспорта Краснодарского края всем вышеуказанным хозяйствующим субъектам выданы разрешения на осуществление деятельности. </w:t>
      </w:r>
    </w:p>
    <w:p>
      <w:pPr>
        <w:pStyle w:val="Normal"/>
        <w:suppressAutoHyphens w:val="false"/>
        <w:spacing w:lineRule="auto" w:line="240" w:before="0" w:after="0"/>
        <w:jc w:val="both"/>
        <w:rPr>
          <w:rFonts w:ascii="Times New Roman" w:hAnsi="Times New Roman"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t>На территории муниципального образования Кореновский район успешно осуществляют деятельность по перевозке пассажиров службы такси:  «Сатурн», «Эконом», «Яндекс такси», «Шоколад», «Пикап», «Женское», «Импульс», «Альта», «Трешка».</w:t>
      </w:r>
    </w:p>
    <w:p>
      <w:pPr>
        <w:pStyle w:val="Normal"/>
        <w:suppressAutoHyphens w:val="false"/>
        <w:spacing w:lineRule="auto" w:line="240" w:before="0" w:after="0"/>
        <w:jc w:val="both"/>
        <w:rPr>
          <w:rFonts w:ascii="Times New Roman" w:hAnsi="Times New Roman"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t>С точки зрения развития конкуренции рынок является достаточно развитым, при этом доля организаций частного сектора на данном рынке составляет 100%.</w:t>
      </w:r>
    </w:p>
    <w:p>
      <w:pPr>
        <w:pStyle w:val="Normal"/>
        <w:suppressAutoHyphens w:val="false"/>
        <w:spacing w:lineRule="auto" w:line="240" w:before="0" w:after="0"/>
        <w:jc w:val="both"/>
        <w:rPr>
          <w:rFonts w:ascii="Times New Roman" w:hAnsi="Times New Roman" w:eastAsia="Times New Roman" w:cs="Times New Roman"/>
          <w:b w:val="false"/>
          <w:bCs w:val="false"/>
          <w:i w:val="false"/>
          <w:i w:val="false"/>
          <w:caps w:val="false"/>
          <w:smallCaps w:val="false"/>
          <w:color w:val="000000"/>
          <w:spacing w:val="0"/>
          <w:kern w:val="2"/>
          <w:sz w:val="28"/>
          <w:szCs w:val="20"/>
          <w:shd w:fill="auto" w:val="clear"/>
          <w:lang w:val="ru-RU" w:eastAsia="ru-RU" w:bidi="ar-SA"/>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suppressAutoHyphens w:val="false"/>
        <w:spacing w:lineRule="auto" w:line="240" w:before="0" w:after="0"/>
        <w:jc w:val="both"/>
        <w:rPr/>
      </w:pPr>
      <w:r>
        <w:rPr>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Отчет о работе рабочей группы в рамках выполнения распоряжения главы администрации (губернатора) Краснодарского края  от 27 декабря 2017 года     № 378-р «Об образовании межведомственной транспортной комиссии Краснодарского края» о количестве выявленных нелегальных участниках рынка направлен в министерство транспорта Краснодарского края». </w:t>
      </w:r>
    </w:p>
    <w:p>
      <w:pPr>
        <w:pStyle w:val="Normal"/>
        <w:suppressAutoHyphens w:val="false"/>
        <w:spacing w:lineRule="auto" w:line="240" w:before="0" w:after="0"/>
        <w:ind w:firstLine="709" w:right="-1"/>
        <w:contextualSpacing/>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cs="Times New Roman"/>
          <w:b/>
          <w:bCs/>
          <w:color w:val="000000"/>
          <w:sz w:val="28"/>
          <w:szCs w:val="28"/>
          <w:lang w:val="ru-RU" w:bidi="ar-SA"/>
        </w:rPr>
      </w:pPr>
      <w:r>
        <w:rPr>
          <w:rFonts w:cs="Times New Roman" w:ascii="Times New Roman" w:hAnsi="Times New Roman"/>
          <w:b/>
          <w:bCs/>
          <w:color w:val="000000"/>
          <w:sz w:val="28"/>
          <w:szCs w:val="28"/>
          <w:lang w:val="ru-RU" w:bidi="ar-SA"/>
        </w:rPr>
        <w:t xml:space="preserve">Анализ развития конкуренции </w:t>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cs="Times New Roman"/>
          <w:b/>
          <w:bCs/>
          <w:color w:val="000000"/>
          <w:sz w:val="28"/>
          <w:szCs w:val="28"/>
          <w:lang w:val="ru-RU" w:bidi="ar-SA"/>
        </w:rPr>
      </w:pPr>
      <w:r>
        <w:rPr>
          <w:rFonts w:cs="Times New Roman" w:ascii="Times New Roman" w:hAnsi="Times New Roman"/>
          <w:b/>
          <w:bCs/>
          <w:color w:val="000000"/>
          <w:sz w:val="28"/>
          <w:szCs w:val="28"/>
          <w:lang w:val="ru-RU" w:bidi="ar-SA"/>
        </w:rPr>
        <w:t>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right="0"/>
        <w:jc w:val="both"/>
        <w:textAlignment w:val="auto"/>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По результатам опроса, большинство жителей 94 % считают, что количество организаций достаточно, 3 %, что мало, 3 %, что нет совсем.</w:t>
      </w:r>
    </w:p>
    <w:p>
      <w:pPr>
        <w:pStyle w:val="Normal"/>
        <w:widowControl/>
        <w:tabs>
          <w:tab w:val="clear" w:pos="708"/>
          <w:tab w:val="left" w:pos="2145" w:leader="none"/>
        </w:tabs>
        <w:suppressAutoHyphens w:val="false"/>
        <w:spacing w:lineRule="auto" w:line="240" w:before="0" w:after="0"/>
        <w:ind w:firstLine="708" w:right="0"/>
        <w:jc w:val="both"/>
        <w:textAlignment w:val="auto"/>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информационных технологий.</w:t>
      </w:r>
    </w:p>
    <w:p>
      <w:pPr>
        <w:pStyle w:val="Normal"/>
        <w:widowControl/>
        <w:tabs>
          <w:tab w:val="clear" w:pos="708"/>
          <w:tab w:val="left" w:pos="2145" w:leader="none"/>
        </w:tabs>
        <w:suppressAutoHyphens w:val="false"/>
        <w:spacing w:lineRule="auto" w:line="240" w:before="0" w:after="0"/>
        <w:ind w:firstLine="851" w:right="0"/>
        <w:jc w:val="both"/>
        <w:textAlignment w:val="auto"/>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 xml:space="preserve">Большинство респондентов 74 % считают, что уровень цен на услуги информационных технологий увеличился, однако 70 % считают, что увеличилось качество и 87 % доступность данных услуг. </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Сферу «Информационные технологии» представляет</w:t>
      </w:r>
      <w:r>
        <w:rPr>
          <w:rStyle w:val="Style20"/>
          <w:rFonts w:eastAsia="Times New Roman" w:cs="Times New Roman" w:ascii="Times New Roman" w:hAnsi="Times New Roman"/>
          <w:b/>
          <w:bCs/>
          <w:i w:val="false"/>
          <w:caps w:val="false"/>
          <w:smallCaps w:val="false"/>
          <w:color w:val="000000"/>
          <w:spacing w:val="0"/>
          <w:kern w:val="2"/>
          <w:sz w:val="28"/>
          <w:szCs w:val="20"/>
          <w:shd w:fill="auto" w:val="clear"/>
          <w:lang w:val="ru-RU" w:eastAsia="ru-RU" w:bidi="ar-SA"/>
        </w:rPr>
        <w:t xml:space="preserve"> Рынок услуг связи, в том числе услуг по предоставлению широкополосного доступа к информационно-телекоммуникационной сети «Интернет».</w:t>
      </w:r>
    </w:p>
    <w:p>
      <w:pPr>
        <w:pStyle w:val="Style27"/>
        <w:spacing w:lineRule="auto" w:line="240" w:before="0" w:after="0"/>
        <w:ind w:firstLine="709" w:left="0" w:right="0"/>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Оптоволоконный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по 11 населенным пунктам Кореновского района. Доля населенных пунктов, обеспеченных устойчивым соединением и широкополосным доступом к сети Интернет, составляет 37%. Доля населенных пунктов, покрытых мобильной связью и мобильным доступом к сети Интернет составляет 80%.</w:t>
      </w:r>
    </w:p>
    <w:p>
      <w:pPr>
        <w:pStyle w:val="Style31"/>
        <w:suppressAutoHyphens w:val="false"/>
        <w:spacing w:lineRule="auto" w:line="240" w:before="0" w:after="0"/>
        <w:ind w:firstLine="709" w:left="0"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Мобильной связью и мобильным досту</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ar-SA"/>
        </w:rPr>
        <w:t>пом к сети Интернет на территории Кореновского района обеспечены 24 населенных пункта, в том числе 23 сельских населенных пункта.</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0"/>
          <w:shd w:fill="auto" w:val="clear"/>
          <w:lang w:val="ru-RU" w:eastAsia="ru-RU" w:bidi="ar-SA"/>
        </w:rPr>
        <w:tab/>
      </w: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Основную долю услуг на рынке оказания фиксированной связи занимает Краснодарский филиал ПАО "Ростелеком". Население в полной мере обеспечено услугами фиксированной телефонной связи. В общем объеме услуг связи удельный вес сотовой связи составляет 90%, фиксированной связи - 80%, почтовой — 50%.</w:t>
      </w:r>
    </w:p>
    <w:p>
      <w:pPr>
        <w:pStyle w:val="Normal"/>
        <w:suppressAutoHyphens w:val="false"/>
        <w:spacing w:lineRule="auto" w:line="240" w:before="0" w:after="0"/>
        <w:ind w:firstLine="709"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В настоящее время на территории муниципального образования Кореновский район услуги мобильной связи предоставляют четыре крупных оператора: МТС, Билайн, Мегафон, Теlе2. Цифровизация сети связи – 100%. Все населенные пункты района телефонизированы.</w:t>
      </w:r>
    </w:p>
    <w:p>
      <w:pPr>
        <w:pStyle w:val="Normal"/>
        <w:suppressAutoHyphens w:val="false"/>
        <w:spacing w:lineRule="auto" w:line="240" w:before="0" w:after="0"/>
        <w:ind w:firstLine="731"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Административных барьеров для входа на рынок частного бизнеса нет. 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p>
      <w:pPr>
        <w:pStyle w:val="Normal"/>
        <w:suppressAutoHyphens w:val="false"/>
        <w:spacing w:lineRule="auto" w:line="240" w:before="0" w:after="0"/>
        <w:ind w:firstLine="709" w:right="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 xml:space="preserve">Доля организаций частной формы собственности на рынке услуг связи составляет 100%. </w:t>
      </w:r>
    </w:p>
    <w:p>
      <w:pPr>
        <w:pStyle w:val="Normal"/>
        <w:suppressAutoHyphens w:val="false"/>
        <w:spacing w:lineRule="auto" w:line="240" w:before="0" w:after="0"/>
        <w:jc w:val="both"/>
        <w:rPr/>
      </w:pPr>
      <w:r>
        <w:rPr>
          <w:rFonts w:cs="Times New Roman" w:ascii="Times New Roman" w:hAnsi="Times New Roman"/>
          <w:sz w:val="26"/>
          <w:szCs w:val="26"/>
        </w:rPr>
        <w:tab/>
      </w: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в муниципальном образовании Кореновский район составляет 100%.</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ru-RU" w:eastAsia="ru-RU" w:bidi="ar-SA"/>
        </w:rPr>
        <w:t>Доля домохозяйств, имеющих широкополосный доступ к сети Интернет, - 83%.</w:t>
      </w:r>
    </w:p>
    <w:p>
      <w:pPr>
        <w:pStyle w:val="Normal"/>
        <w:tabs>
          <w:tab w:val="clear" w:pos="708"/>
          <w:tab w:val="left" w:pos="2145" w:leader="none"/>
        </w:tabs>
        <w:suppressAutoHyphens w:val="false"/>
        <w:spacing w:lineRule="auto" w:line="240" w:before="0" w:after="0"/>
        <w:ind w:firstLine="709" w:right="-1"/>
        <w:contextualSpacing/>
        <w:jc w:val="both"/>
        <w:textAlignment w:val="auto"/>
        <w:rPr>
          <w:rFonts w:ascii="Times New Roman" w:hAnsi="Times New Roman" w:eastAsia="Times New Roman" w:cs="Times New Roman"/>
          <w:b w:val="false"/>
          <w:bCs w:val="false"/>
          <w:color w:val="000000"/>
          <w:kern w:val="2"/>
          <w:sz w:val="28"/>
          <w:szCs w:val="28"/>
          <w:lang w:val="ru-RU" w:eastAsia="ru-RU" w:bidi="ru-RU"/>
        </w:rPr>
      </w:pPr>
      <w:r>
        <w:rPr>
          <w:rFonts w:eastAsia="Times New Roman" w:cs="Times New Roman" w:ascii="Times New Roman" w:hAnsi="Times New Roman"/>
          <w:b w:val="false"/>
          <w:bCs w:val="false"/>
          <w:color w:val="000000"/>
          <w:kern w:val="2"/>
          <w:sz w:val="28"/>
          <w:szCs w:val="28"/>
          <w:lang w:val="ru-RU" w:eastAsia="ru-RU" w:bidi="ru-RU"/>
        </w:rPr>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Malgun Gothic" w:cs="Times New Roman"/>
          <w:b/>
          <w:color w:val="000000"/>
          <w:spacing w:val="-6"/>
          <w:kern w:val="2"/>
          <w:sz w:val="28"/>
          <w:szCs w:val="28"/>
          <w:lang w:val="ru-RU" w:eastAsia="ru-RU" w:bidi="ar-SA"/>
        </w:rPr>
      </w:pPr>
      <w:r>
        <w:rPr>
          <w:rFonts w:eastAsia="Malgun Gothic" w:cs="Times New Roman" w:ascii="Times New Roman" w:hAnsi="Times New Roman"/>
          <w:b/>
          <w:color w:val="000000"/>
          <w:spacing w:val="-6"/>
          <w:kern w:val="2"/>
          <w:sz w:val="28"/>
          <w:szCs w:val="28"/>
          <w:lang w:val="ru-RU" w:eastAsia="ru-RU" w:bidi="ar-SA"/>
        </w:rPr>
        <w:t>Анализ развития конкуренции на товарных рынках строительной отрасли</w:t>
      </w:r>
    </w:p>
    <w:p>
      <w:pPr>
        <w:pStyle w:val="Normal"/>
        <w:widowControl/>
        <w:tabs>
          <w:tab w:val="clear" w:pos="708"/>
          <w:tab w:val="left" w:pos="2145" w:leader="none"/>
        </w:tabs>
        <w:suppressAutoHyphens w:val="false"/>
        <w:spacing w:lineRule="auto" w:line="240" w:before="0" w:after="0"/>
        <w:ind w:firstLine="851" w:right="0"/>
        <w:jc w:val="both"/>
        <w:textAlignment w:val="auto"/>
        <w:rPr>
          <w:rFonts w:ascii="Times New Roman" w:hAnsi="Times New Roman" w:eastAsia="Calibri" w:cs="Times New Roman"/>
          <w:b w:val="false"/>
          <w:bCs w:val="false"/>
          <w:color w:val="auto"/>
          <w:spacing w:val="-6"/>
          <w:kern w:val="0"/>
          <w:sz w:val="28"/>
          <w:szCs w:val="22"/>
          <w:lang w:val="ru-RU" w:eastAsia="en-US" w:bidi="ar-SA"/>
        </w:rPr>
      </w:pPr>
      <w:r>
        <w:rPr>
          <w:rFonts w:eastAsia="Calibri" w:cs="Times New Roman" w:ascii="Times New Roman" w:hAnsi="Times New Roman"/>
          <w:b w:val="false"/>
          <w:bCs w:val="false"/>
          <w:color w:val="auto"/>
          <w:spacing w:val="-6"/>
          <w:kern w:val="0"/>
          <w:sz w:val="28"/>
          <w:szCs w:val="22"/>
          <w:lang w:val="ru-RU" w:eastAsia="en-US" w:bidi="ar-SA"/>
        </w:rPr>
        <w:t>По результатам опроса, большинство жителей 93 % считают, что количество организаций достаточно, 6 %, что мало, 1 %, что нет совсем.</w:t>
      </w:r>
    </w:p>
    <w:p>
      <w:pPr>
        <w:pStyle w:val="Normal"/>
        <w:widowControl w:val="false"/>
        <w:tabs>
          <w:tab w:val="clear" w:pos="708"/>
          <w:tab w:val="left" w:pos="2145" w:leader="none"/>
        </w:tabs>
        <w:suppressAutoHyphens w:val="false"/>
        <w:spacing w:lineRule="auto" w:line="240" w:before="0" w:after="0"/>
        <w:ind w:firstLine="708" w:right="0"/>
        <w:jc w:val="both"/>
        <w:textAlignment w:val="auto"/>
        <w:rPr>
          <w:rFonts w:ascii="Times New Roman" w:hAnsi="Times New Roman" w:eastAsia="Calibri" w:cs="Times New Roman"/>
          <w:b w:val="false"/>
          <w:bCs w:val="false"/>
          <w:color w:val="auto"/>
          <w:kern w:val="0"/>
          <w:sz w:val="28"/>
          <w:szCs w:val="22"/>
          <w:lang w:val="ru-RU" w:eastAsia="en-US" w:bidi="ar-SA"/>
        </w:rPr>
      </w:pPr>
      <w:r>
        <w:rPr>
          <w:rFonts w:eastAsia="Calibri" w:cs="Times New Roman" w:ascii="Times New Roman" w:hAnsi="Times New Roman"/>
          <w:b w:val="false"/>
          <w:bCs w:val="false"/>
          <w:color w:val="auto"/>
          <w:kern w:val="0"/>
          <w:sz w:val="28"/>
          <w:szCs w:val="22"/>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строительной отрасли.</w:t>
      </w:r>
    </w:p>
    <w:p>
      <w:pPr>
        <w:pStyle w:val="Normal"/>
        <w:suppressAutoHyphens w:val="false"/>
        <w:spacing w:lineRule="auto" w:line="240" w:before="0" w:after="0"/>
        <w:ind w:firstLine="851" w:right="0"/>
        <w:jc w:val="both"/>
        <w:textAlignment w:val="auto"/>
        <w:rPr/>
      </w:pPr>
      <w:r>
        <w:rPr>
          <w:rFonts w:eastAsia="Calibri" w:cs="Times New Roman" w:ascii="Times New Roman" w:hAnsi="Times New Roman"/>
          <w:kern w:val="0"/>
          <w:sz w:val="28"/>
          <w:lang w:eastAsia="en-US"/>
        </w:rPr>
        <w:t xml:space="preserve">Большинство респондентов 76 % считают, что уровень цен на услуги </w:t>
      </w:r>
      <w:r>
        <w:rPr>
          <w:rFonts w:eastAsia="Calibri" w:cs="Times New Roman" w:ascii="Times New Roman" w:hAnsi="Times New Roman"/>
          <w:color w:val="auto"/>
          <w:kern w:val="0"/>
          <w:sz w:val="28"/>
          <w:szCs w:val="22"/>
          <w:lang w:val="ru-RU" w:eastAsia="en-US" w:bidi="ar-SA"/>
        </w:rPr>
        <w:t>строителей</w:t>
      </w:r>
      <w:r>
        <w:rPr>
          <w:rFonts w:eastAsia="Calibri" w:cs="Times New Roman" w:ascii="Times New Roman" w:hAnsi="Times New Roman"/>
          <w:kern w:val="0"/>
          <w:sz w:val="28"/>
          <w:lang w:eastAsia="en-US"/>
        </w:rPr>
        <w:t xml:space="preserve"> увеличился, однако 69 % считают, что увеличилось качество и 69 %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Сфера «Строительство» включает:</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auto" w:val="clear"/>
          <w:lang w:val="ru-RU" w:eastAsia="en-US" w:bidi="ar-SA"/>
        </w:rPr>
        <w:t xml:space="preserve">- Рынок жилищного строительства. </w:t>
      </w:r>
      <w:r>
        <w:rPr>
          <w:rFonts w:eastAsia="Calibri" w:cs="Times New Roman" w:ascii="Times New Roman" w:hAnsi="Times New Roman"/>
          <w:b w:val="false"/>
          <w:bCs w:val="false"/>
          <w:iCs/>
          <w:color w:val="000000"/>
          <w:kern w:val="0"/>
          <w:sz w:val="28"/>
          <w:szCs w:val="22"/>
          <w:shd w:fill="FFFFFF" w:val="clear"/>
          <w:lang w:val="ru-RU" w:eastAsia="en-US" w:bidi="ar-SA"/>
        </w:rPr>
        <w:t xml:space="preserve">В 2024 году на территории муниципального образования Кореновский район введено в эксплуатацию 591 здание жилого назначения (ввод жилых домов индивидуальными застройщиками) общей площадью 55,590 тыс. кв. метров.  </w:t>
      </w:r>
      <w:r>
        <w:rPr>
          <w:rFonts w:eastAsia="Calibri" w:cs="Times New Roman" w:ascii="Times New Roman" w:hAnsi="Times New Roman"/>
          <w:b w:val="false"/>
          <w:bCs w:val="false"/>
          <w:color w:val="000000"/>
          <w:kern w:val="0"/>
          <w:sz w:val="28"/>
          <w:szCs w:val="22"/>
          <w:shd w:fill="FFFFFF" w:val="clear"/>
          <w:lang w:val="ru-RU" w:eastAsia="en-US" w:bidi="ar-SA"/>
        </w:rPr>
        <w:t xml:space="preserve">Обеспеченность населения жильём составляет 29,1 кв. метров в расчёте на одного жителя, что выше среднекраевого значения — 25,7 кв. метров на одного жителя. </w:t>
      </w:r>
    </w:p>
    <w:p>
      <w:pPr>
        <w:pStyle w:val="Normal"/>
        <w:spacing w:lineRule="auto" w:line="240" w:before="0" w:after="0"/>
        <w:jc w:val="both"/>
        <w:rPr>
          <w:rFonts w:ascii="Times New Roman" w:hAnsi="Times New Roman" w:eastAsia="Calibri" w:cs="Times New Roman"/>
          <w:b w:val="false"/>
          <w:bCs w:val="false"/>
          <w:color w:val="000000"/>
          <w:kern w:val="0"/>
          <w:sz w:val="28"/>
          <w:szCs w:val="22"/>
          <w:shd w:fill="FFFFFF" w:val="clear"/>
          <w:lang w:val="ru-RU" w:eastAsia="en-US" w:bidi="ar-SA"/>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В строительной отрасли уровень конкуренции достаточно высокий. Доля предприятий, относящихся к частной форме собственности, составляет 100%. </w:t>
        <w:tab/>
        <w:t>На рынке Кореновского района присутствуют 30 юридических лиц и 42 индивидуальных предпринимателя. Кроме производства основных строительных работ (коробка здания) немаловажное значение имеют создание инженерной инфраструктуры, производство отделочных работ.</w:t>
      </w:r>
    </w:p>
    <w:p>
      <w:pPr>
        <w:pStyle w:val="Normal"/>
        <w:spacing w:lineRule="auto" w:line="240" w:before="0" w:after="0"/>
        <w:jc w:val="both"/>
        <w:rPr/>
      </w:pPr>
      <w:r>
        <w:rPr>
          <w:rFonts w:eastAsia="Calibri" w:cs="Times New Roman" w:ascii="Times New Roman" w:hAnsi="Times New Roman"/>
          <w:b w:val="false"/>
          <w:bCs w:val="false"/>
          <w:color w:val="000000"/>
          <w:kern w:val="0"/>
          <w:sz w:val="28"/>
          <w:szCs w:val="22"/>
          <w:shd w:fill="FFFFFF" w:val="clear"/>
          <w:lang w:val="ru-RU" w:eastAsia="en-US" w:bidi="ar-SA"/>
        </w:rPr>
        <w:tab/>
        <w:t xml:space="preserve">Проблемами данного рынка можно считать отсутствие земельных участков, обеспеченных инженерной инфраструктурой, недостаточный рост объемов жилищного строительства в условиях бюджетных ограничений застройщиков и покупателей жилья, отсутствие механизмов комплексного освоения территорий, </w:t>
      </w:r>
      <w:r>
        <w:rPr>
          <w:rFonts w:eastAsia="Times New Roman" w:cs="Times New Roman" w:ascii="Times New Roman" w:hAnsi="Times New Roman"/>
          <w:b w:val="false"/>
          <w:bCs w:val="false"/>
          <w:color w:val="000000"/>
          <w:kern w:val="0"/>
          <w:sz w:val="28"/>
          <w:szCs w:val="20"/>
          <w:shd w:fill="FFFFFF" w:val="clear"/>
          <w:lang w:val="ru-RU" w:eastAsia="ru-RU" w:bidi="ar-SA"/>
        </w:rPr>
        <w:t>ужесточение действующего законодательства;  вступление в силу нововведений в области жилищного строительства, которые меняют правила работы застройщиков.</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Задачи: расширение применения новых технологий строительства, в том числе основанных на инновационных строительных материалах; вовлечение в хозяйственный оборот неиспользуемых или неэффективно используемых земельных участков; вовлечение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строительства объектов капитального строительства, за исключением жилищного и дорожного строительства.</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В 2024 году на территории муниципального образования Кореновский район введено в эксплуатацию 23 объектов капитального строительства нежилого назначения общей площадью 23450 кв. метров. Данные виды работ проведены 19 собственниками подрядным и хозяйственным способами.</w:t>
      </w:r>
    </w:p>
    <w:p>
      <w:pPr>
        <w:pStyle w:val="BodyText"/>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строительства объектов капитального строительства муниципального образования Кореновский район высокий уровень конкуренции. Доля предприятий, относящихся к частной форме собственности, составляет 100%.</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xml:space="preserve">-Рынок дорожной деятельности (за исключением проектирования).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Территория Кореновского района составляет 1425,9 кв. км.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Протяженность дорог общего пользования по территории Кореновского района</w:t>
      </w:r>
      <w:r>
        <w:rPr>
          <w:rStyle w:val="FontStyle50"/>
          <w:rFonts w:eastAsia="Times New Roman" w:cs="Times New Roman" w:ascii="Times New Roman" w:hAnsi="Times New Roman"/>
          <w:b w:val="false"/>
          <w:bCs w:val="false"/>
          <w:caps w:val="false"/>
          <w:smallCaps w:val="false"/>
          <w:color w:val="000000"/>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составляет 818</w:t>
      </w:r>
      <w:r>
        <w:rPr>
          <w:rStyle w:val="FontStyle50"/>
          <w:rFonts w:eastAsia="Times New Roman" w:cs="Times New Roman" w:ascii="Times New Roman" w:hAnsi="Times New Roman"/>
          <w:b w:val="false"/>
          <w:bCs w:val="false"/>
          <w:caps w:val="false"/>
          <w:smallCaps w:val="false"/>
          <w:color w:val="000000"/>
          <w:spacing w:val="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км., в том числе:</w:t>
      </w:r>
    </w:p>
    <w:p>
      <w:pPr>
        <w:pStyle w:val="Style39"/>
        <w:spacing w:lineRule="auto" w:line="240" w:before="0" w:after="0"/>
        <w:ind w:firstLine="709" w:left="0" w:right="0"/>
        <w:jc w:val="both"/>
        <w:rPr/>
      </w:pPr>
      <w:r>
        <w:rPr>
          <w:rStyle w:val="FontStyle52"/>
          <w:rFonts w:eastAsia="Times New Roman" w:cs="Times New Roman" w:ascii="Times New Roman" w:hAnsi="Times New Roman"/>
          <w:b w:val="false"/>
          <w:bCs w:val="false"/>
          <w:color w:val="000000"/>
          <w:kern w:val="2"/>
          <w:sz w:val="28"/>
          <w:szCs w:val="20"/>
          <w:lang w:val="ru-RU" w:eastAsia="ru-RU" w:bidi="ar-SA"/>
        </w:rPr>
        <w:t>протяженность дорог местного значения — 673,6</w:t>
      </w:r>
      <w:r>
        <w:rPr>
          <w:rStyle w:val="FontStyle50"/>
          <w:rFonts w:eastAsia="Times New Roman" w:cs="Times New Roman" w:ascii="Times New Roman" w:hAnsi="Times New Roman"/>
          <w:b w:val="false"/>
          <w:bCs w:val="false"/>
          <w:color w:val="000000"/>
          <w:kern w:val="2"/>
          <w:sz w:val="28"/>
          <w:szCs w:val="20"/>
          <w:lang w:val="ru-RU" w:eastAsia="ru-RU" w:bidi="ar-SA"/>
        </w:rPr>
        <w:t xml:space="preserve"> </w:t>
      </w:r>
      <w:r>
        <w:rPr>
          <w:rStyle w:val="FontStyle52"/>
          <w:rFonts w:eastAsia="Times New Roman" w:cs="Times New Roman" w:ascii="Times New Roman" w:hAnsi="Times New Roman"/>
          <w:b w:val="false"/>
          <w:bCs w:val="false"/>
          <w:color w:val="000000"/>
          <w:kern w:val="2"/>
          <w:sz w:val="28"/>
          <w:szCs w:val="20"/>
          <w:lang w:val="ru-RU" w:eastAsia="ru-RU" w:bidi="ar-SA"/>
        </w:rPr>
        <w:t>км. (636,2 - в асфальте, 37,4 км. - грунтовых дорог);</w:t>
      </w:r>
    </w:p>
    <w:p>
      <w:pPr>
        <w:pStyle w:val="Normal"/>
        <w:suppressAutoHyphens w:val="false"/>
        <w:spacing w:lineRule="auto" w:line="240" w:before="0" w:after="0"/>
        <w:ind w:firstLine="709" w:right="-1"/>
        <w:jc w:val="both"/>
        <w:rPr/>
      </w:pP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протяженность дорог регионального и межмуниципального значения -136,4</w:t>
      </w:r>
      <w:r>
        <w:rPr>
          <w:rStyle w:val="FontStyle80"/>
          <w:rFonts w:eastAsia="Times New Roman" w:cs="Times New Roman" w:ascii="Times New Roman" w:hAnsi="Times New Roman"/>
          <w:b w:val="false"/>
          <w:bCs w:val="false"/>
          <w:i w:val="false"/>
          <w:caps w:val="false"/>
          <w:smallCaps w:val="false"/>
          <w:color w:val="000000"/>
          <w:spacing w:val="20"/>
          <w:kern w:val="2"/>
          <w:sz w:val="28"/>
          <w:szCs w:val="20"/>
          <w:shd w:fill="FFFFFF" w:val="clear"/>
          <w:lang w:val="ru-RU" w:eastAsia="ru-RU" w:bidi="ar-SA"/>
        </w:rPr>
        <w:t xml:space="preserve"> </w:t>
      </w:r>
      <w:r>
        <w:rPr>
          <w:rStyle w:val="FontStyle52"/>
          <w:rFonts w:eastAsia="Times New Roman" w:cs="Times New Roman" w:ascii="Times New Roman" w:hAnsi="Times New Roman"/>
          <w:b w:val="false"/>
          <w:bCs w:val="false"/>
          <w:i w:val="false"/>
          <w:caps w:val="false"/>
          <w:smallCaps w:val="false"/>
          <w:color w:val="000000"/>
          <w:spacing w:val="0"/>
          <w:kern w:val="2"/>
          <w:sz w:val="28"/>
          <w:szCs w:val="20"/>
          <w:shd w:fill="FFFFFF" w:val="clear"/>
          <w:lang w:val="ru-RU" w:eastAsia="ru-RU" w:bidi="ar-SA"/>
        </w:rPr>
        <w:t>км. (136,4 км. - в асфальте, 0 км. - грунтовых дорог).</w:t>
      </w:r>
    </w:p>
    <w:p>
      <w:pPr>
        <w:pStyle w:val="BodyText"/>
        <w:widowControl/>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Муниципальная маршрутная сеть пассажирских перевозок состоит из 17 автобусных маршрутов (9 пригородных и 8 городских), общая протяженность которой составляет 361 км, из них 285 км муниципальная пригородная маршрутная сеть, 76 км городская. По вопросу удовлетворенности потребителей качеством товаров и услуг можно отметить факт, что все 9 сельских поселений Кореновского района имеют регулярное транспортное сообщение с административным центром городом Кореновск. </w:t>
      </w:r>
    </w:p>
    <w:p>
      <w:pPr>
        <w:pStyle w:val="BodyText"/>
        <w:widowControl/>
        <w:tabs>
          <w:tab w:val="clear" w:pos="708"/>
          <w:tab w:val="left" w:pos="993" w:leader="none"/>
        </w:tabs>
        <w:suppressAutoHyphens w:val="true"/>
        <w:bidi w:val="0"/>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рынке дорожной деятельности в 2024 году присутствовали 27 субъектов бизнеса, 23 — частной формы собственности. Доля присутствия частного бизнеса на рынке дорожной деятельности (за исключением проектирования) составляет 85,2%.</w:t>
      </w:r>
    </w:p>
    <w:p>
      <w:pPr>
        <w:pStyle w:val="BodyText"/>
        <w:widowControl/>
        <w:tabs>
          <w:tab w:val="clear" w:pos="708"/>
          <w:tab w:val="left" w:pos="993" w:leader="none"/>
        </w:tabs>
        <w:suppressAutoHyphens w:val="true"/>
        <w:bidi w:val="0"/>
        <w:spacing w:lineRule="auto" w:line="240" w:before="0" w:after="0"/>
        <w:ind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Административных барьеров для входа на рынок частного бизнеса нет. В области дорожного строительства работы выполняют преимущественно крупные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производства бетона, включая инновационные материалы.</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firstLine="731"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На сегодняшний день в Кореновском районе осуществляют деятельность по производству товарного бетона 5 предприятий. Административных барьеров для входа на рынок частного бизнеса нет.</w:t>
      </w:r>
    </w:p>
    <w:p>
      <w:pPr>
        <w:pStyle w:val="Normal"/>
        <w:widowControl w:val="false"/>
        <w:spacing w:lineRule="auto" w:line="240" w:before="0" w:after="0"/>
        <w:ind w:firstLine="567"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w:t>
      </w:r>
    </w:p>
    <w:p>
      <w:pPr>
        <w:pStyle w:val="Normal"/>
        <w:widowControl w:val="false"/>
        <w:spacing w:lineRule="auto" w:line="240" w:before="0" w:after="0"/>
        <w:ind w:firstLine="567"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В целях снижения незаконного оборота указанной продукции на территории Кореновского района комиссией по незаконному обороту промышленной продукции ведется работа по выявлению мест реализации фальсифицированного тарированного цемента. Факты реализации некачественных строительных материалов, в том числе цемента, не выявлены. Жалоб и обращений в администрацию муниципального образования Кореновский район не поступало.</w:t>
      </w:r>
    </w:p>
    <w:p>
      <w:pPr>
        <w:pStyle w:val="BodyText"/>
        <w:widowControl/>
        <w:tabs>
          <w:tab w:val="clear" w:pos="708"/>
          <w:tab w:val="left" w:pos="993" w:leader="none"/>
        </w:tabs>
        <w:suppressAutoHyphens w:val="false"/>
        <w:bidi w:val="0"/>
        <w:spacing w:lineRule="auto" w:line="240" w:before="0" w:after="0"/>
        <w:ind w:right="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присутствия частного бизнеса на рынке составляет 100%. Предприятиями в 2024 году произведено 30,3 тыс. куб. метров бетона.</w:t>
      </w:r>
    </w:p>
    <w:p>
      <w:pPr>
        <w:pStyle w:val="Normal"/>
        <w:suppressAutoHyphens w:val="false"/>
        <w:spacing w:lineRule="auto" w:line="240" w:before="0" w:after="0"/>
        <w:ind w:firstLine="709" w:right="-1"/>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0"/>
          <w:lang w:val="ru-RU" w:eastAsia="ru-RU" w:bidi="ar-SA"/>
        </w:rPr>
      </w:pPr>
      <w:r>
        <w:rPr>
          <w:rFonts w:eastAsia="Times New Roman" w:cs="Times New Roman" w:ascii="Times New Roman" w:hAnsi="Times New Roman"/>
          <w:b/>
          <w:color w:val="000000"/>
          <w:kern w:val="0"/>
          <w:sz w:val="28"/>
          <w:szCs w:val="20"/>
          <w:lang w:val="ru-RU" w:eastAsia="ru-RU" w:bidi="ar-SA"/>
        </w:rPr>
        <w:t>Анализ развития конкуренции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По результатам опроса, большинство жителей 93 % считают, что количество организаций достаточно, 3 %, что мало, 1 %, что нет совсем.</w:t>
      </w:r>
    </w:p>
    <w:p>
      <w:pPr>
        <w:pStyle w:val="Normal"/>
        <w:widowControl w:val="false"/>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агропромышленного комплекса.</w:t>
      </w:r>
    </w:p>
    <w:p>
      <w:pPr>
        <w:pStyle w:val="Normal"/>
        <w:widowControl w:val="false"/>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Большинство респондентов 91 % считают, что уровень цен на услуги информационных технологий повысился, однако 69 % считают, что увеличилось качество и 86 %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Сфера «Агропромышленный комплекс» включает следующие товарные рынки:</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товарной аквакультуры.</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Хозяйственную деятельность в сфере аквакультуры на территории Кореновского района осуществляют 37 хозяйствующих субъектов, из них акционерных обществ — 3, обществ с ограниченной ответственностью — 9, индивидуальных предпринимателей — 25.</w:t>
      </w:r>
    </w:p>
    <w:p>
      <w:pPr>
        <w:pStyle w:val="Normal"/>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Доля хозяйствующих субъектов рынка, относящихся к частной форме собственности, составляет 100%. 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Одной из причин медленного развития отрасли является длинный срок выращивания рыбы. Оборотный капитал часто нужно «заморозить» на один-два года, пока рыба не вырастет от икры или малька до товарного веса. А, например, бройлер готов к убою уже практически через месяц.  </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На развитие отрасли влияют: очень слаборазвитый  механизм страхования рисков в аквакультуре, слабое развитие рыночной инфраструктуры, недостаточный уровень государственной поддержки рыбохозяйственного комплекса, низкий уровень покупательной способности населения, браконьерство, а также серьезные биологические риски.</w:t>
      </w:r>
    </w:p>
    <w:p>
      <w:pPr>
        <w:pStyle w:val="BodyText"/>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Водопользователи принимают участие в проведении агропромышленной выставки «Кубанская ярмарка» - ИП глава КФХ Дробот А.Е. (ООО «Южный осетр»), в выставочно-ярмарочных мероприятиях различного уровня (ИП Гойкалов В.В., ИП Щербатюк С.А., ИП Гуржий С.И., ИП глава КФХ Дробот А.Е.).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пищевой продукции.</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Рынок пищевой продукции — самый растущий рынок с 2016 года. Приток замещения импортной продукции на отечественную и сокращение количества товаров привели к небывалому толчку предприятий, работающих в этой отрасли.</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Основными функциями рынка пищевой продукции являются: обеспечение в полной мере платежеспособной потребности населения в продуктах питания; формирование ассортимента, состава и качества продукции; стимулирование развития производства.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Рынок производства прочих пищевых продуктов представлен широким кругом видов экономической деятельности (производством хлеба, сахара, молочной продукции, кондитерских изделий и др.). Одним из социально-значимых является производство хлеба и хлебобулочных изделий.</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Непростая ситуация складывается на рынке производства сахара. В настоящее время АО «Кореновсксахар» является единственным предприятием по выработке сахара на территории Кореновского района. Несмотря на сложившуюся экономическую конъюнктуру, предприятие развивается, увеличиваются объемы выработки продукции.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Рынок мясоперерабатывающей продукции Кореновского района представлен НПХ «Кореновское» ф. ФГБНУ "НЦЗ имени П.П. Лукьяненко" и АО «Тандер».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По объёмам производства зерна и, в первую очередь, высококачественной пшеницы, Краснодарский край является лидером и входит в первую пятёрку регионов страны. Основным направлением использования произведенного сырья является выработка муки, производство круп и комбикормов. Рынок производства мукомольной продукции в 2024 году составили АО «Кореновский элеватор», НПХ «Кореновское» и мелкие  предприятия: ИП Дербалиян З.Ш. и ИП Павленко А.Г.  Высокий спрос на произведенную продукцию, как на внутреннем рынке, так и за пределами района, определяют перспективность, экономическую и социальную значимость рынка зернопереработки. </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  Рынок производства молочных продуктов представлен ЗАО «Кореновский МКК», ООО «Фабрика настоящего мороженого», НПХ «Кореновское» ф. ФГБНУ "НЦЗ имени П.П. Лукьяненко".</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Основной объем производства составляют продукты длительного срока хранения – животное масло, молочные продукты и консервы. </w:t>
      </w:r>
    </w:p>
    <w:p>
      <w:pPr>
        <w:pStyle w:val="21"/>
        <w:suppressAutoHyphens w:val="false"/>
        <w:spacing w:lineRule="auto" w:line="240" w:before="0" w:after="0"/>
        <w:ind w:firstLine="708" w:right="0"/>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ЗАО «Кореновский МКК» работает согласно количеству и объему заказов, которые планируются на несколько лет. Больше фактического количества заказов предприятие не прогнозирует. НПХ «Кореновское» ф. ФГБНУ "НЦЗ имени П.П. Лукьяненко" также не планирует больших приростов в производстве молочной продукции, работает со стабильным объемом.</w:t>
      </w:r>
    </w:p>
    <w:p>
      <w:pPr>
        <w:pStyle w:val="Normal"/>
        <w:suppressAutoHyphens w:val="false"/>
        <w:spacing w:lineRule="auto" w:line="240" w:before="0" w:after="0"/>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В целом, рынок пищевой продукции Кореновского района характеризуется высоким уровнем развития конкуренции. Появляются новые сегменты рынка, внедряются современные технологии, позволяющие разрабатывать инновационные виды продуктов. </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пчеловодства.</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На территории муниципального образования Кореновский район 8 хозяйствующих субъектов осуществляют деятельность в обрасти пчеловодства, из них 7 — представители частной формы собственности,, большой сегмент рынка занимают пасечники ЛПХ. Наиболее активные участники данного рынка: - ИП глава КФХ Басос Алексей Анатольевич. Э</w:t>
      </w:r>
      <w:bookmarkStart w:id="2" w:name="_GoBack1"/>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ко-пасека «Источник-здоровья» </w:t>
      </w:r>
      <w:bookmarkEnd w:id="2"/>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проводит экскурсии на пасеку с дегустацией пчелопродуктов для учащихся, общественных организаций, экскурсионных групп. Для желающих отдохнуть и привести свою нервную систему в порядок, на пасеке весь сезон работал апидомик. Налажено производство пчелопродуктов: маточное молочко, цветочная пыльца, прополис, трутовый гомогенат и др. В октябре 2024 года участвовали в ежегодной агропромышленной выставке «Кубанская ярмарка». Постоянный участник сельскохозяйственной ярмарки выходного дня г. Краснодар, ИП Бекарюк Николай Владимирович и  ЛПХ Бекарюк Наталья Николаевна. </w:t>
      </w:r>
    </w:p>
    <w:p>
      <w:pPr>
        <w:pStyle w:val="Normal"/>
        <w:suppressAutoHyphens w:val="false"/>
        <w:spacing w:lineRule="auto" w:line="240" w:before="0" w:after="0"/>
        <w:ind w:right="-1"/>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ИП Бекарюк Н.В. и ЛПХ Бекарюк Н.Н. являются постоянными участниками выставок проводимых Министерством сельского хозяйства Краснодарского края, поставляют продукцию в пансионаты и санатории Краснодарского края. 53 участника рынка пчеловодства района участвуют в сельхозпроизводстве (опыление), 40 представителей регулярно принимают участие в работе ярмарок районного и краевого уровней, являются поставщиками меда в санатории края.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плодоовощной продукции.</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Является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suppressAutoHyphens w:val="true"/>
        <w:bidi w:val="0"/>
        <w:spacing w:before="0" w:after="0"/>
        <w:ind w:left="0" w:right="0"/>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suppressAutoHyphens w:val="true"/>
        <w:bidi w:val="0"/>
        <w:spacing w:before="0" w:after="0"/>
        <w:ind w:left="0" w:right="0"/>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Для насыщения внутреннего рынка и выполнения задач по импортозамещению  в районе  стоит задача  расширения  производства овощных культур, картофеля, плодов и ягод.</w:t>
      </w:r>
    </w:p>
    <w:p>
      <w:pPr>
        <w:pStyle w:val="ListParagraph"/>
        <w:widowControl w:val="false"/>
        <w:suppressAutoHyphens w:val="true"/>
        <w:bidi w:val="0"/>
        <w:spacing w:before="0" w:after="0"/>
        <w:ind w:left="0" w:right="0"/>
        <w:contextualSpacing/>
        <w:jc w:val="both"/>
        <w:rPr/>
      </w:pPr>
      <w:r>
        <w:rPr>
          <w:rStyle w:val="Style20"/>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highlight w:val="white"/>
          <w:u w:val="none"/>
          <w:shd w:fill="FFFFFF" w:val="clear"/>
          <w:em w:val="none"/>
          <w:lang w:val="ru-RU" w:eastAsia="en-US" w:bidi="ar-SA"/>
        </w:rPr>
        <w:tab/>
      </w:r>
      <w:r>
        <w:rPr>
          <w:rStyle w:val="Style18"/>
          <w:rFonts w:eastAsia="Times New Roman"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8"/>
          <w:highlight w:val="white"/>
          <w:u w:val="none"/>
          <w:shd w:fill="FFFFFF" w:val="clear"/>
          <w:em w:val="none"/>
          <w:lang w:val="ru-RU" w:eastAsia="zh-CN" w:bidi="ar-SA"/>
        </w:rPr>
        <w:t xml:space="preserve">В муниципальном образовании Кореновский район площадь плодово-ягодных насаждений, в хозяйствах всех категорий составляет порядка 300 га. С начала года заложено 46,1 га плодово-ягодных насаждений,  все сады оснащены системой капельного орошения, с установкой шпалеры.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Фруктохранилища на территории района отсутствуют. </w:t>
      </w:r>
    </w:p>
    <w:p>
      <w:pPr>
        <w:pStyle w:val="Normal"/>
        <w:widowControl w:val="false"/>
        <w:suppressAutoHyphens w:val="true"/>
        <w:bidi w:val="0"/>
        <w:spacing w:lineRule="auto" w:line="240" w:before="0" w:after="0"/>
        <w:ind w:right="0"/>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Общая площадь теплиц в  малых формах хозяйствования превышает 54 га. Площадь под овощные культуры в хозяйствах всех категорий в районе составляет 1,45 тыс. га, в том числе в ЛПХ 785 га. </w:t>
      </w:r>
    </w:p>
    <w:p>
      <w:pPr>
        <w:pStyle w:val="ListParagraph"/>
        <w:widowControl w:val="false"/>
        <w:suppressAutoHyphens w:val="true"/>
        <w:bidi w:val="0"/>
        <w:spacing w:lineRule="auto" w:line="240" w:before="0" w:after="0"/>
        <w:ind w:left="0" w:right="0"/>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Фермеры из хутора Журавского выращивают уникальный продукт. Сыть луговая или чуфа — это трава со съедобными клубнями на корнях. В народе их называют «орехами». Это вкусный, богатый на калории и полезные свойства продукт. Из его клубней производят, например, масло и муку. Из ботвы делают чай, а вытяжку из корневища используют в приготовлении лекарств. </w:t>
      </w:r>
    </w:p>
    <w:p>
      <w:pPr>
        <w:pStyle w:val="Normal"/>
        <w:widowControl w:val="false"/>
        <w:bidi w:val="0"/>
        <w:spacing w:lineRule="auto" w:line="240" w:before="0" w:after="0"/>
        <w:ind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2023 году фермером станицы Платнировской начато строительство тепличного комплекса по выращиванию голубики. В 2024 году получен первый урожай.</w:t>
      </w:r>
    </w:p>
    <w:p>
      <w:pPr>
        <w:pStyle w:val="ListParagraph"/>
        <w:widowControl w:val="false"/>
        <w:suppressAutoHyphens w:val="true"/>
        <w:bidi w:val="0"/>
        <w:spacing w:before="0" w:after="0"/>
        <w:ind w:left="0" w:right="0"/>
        <w:contextualSpacing/>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Доля субъектов частного бизнеса на рынке плодоовощной продукции в муниципальном образовании Кореновский район составляет 100%.</w:t>
      </w:r>
    </w:p>
    <w:p>
      <w:pPr>
        <w:pStyle w:val="ListParagraph"/>
        <w:widowControl w:val="false"/>
        <w:suppressAutoHyphens w:val="false"/>
        <w:bidi w:val="0"/>
        <w:spacing w:lineRule="auto" w:line="240" w:before="0" w:after="0"/>
        <w:ind w:left="0" w:right="0"/>
        <w:contextualSpacing/>
        <w:jc w:val="both"/>
        <w:rPr/>
      </w:pPr>
      <w:r>
        <w:rPr>
          <w:rStyle w:val="Style20"/>
          <w:rFonts w:eastAsia="SimSun;宋体" w:cs="Times New Roman" w:ascii="Times New Roman" w:hAnsi="Times New Roman"/>
          <w:b/>
          <w:bCs/>
          <w:i w:val="false"/>
          <w:color w:val="000000"/>
          <w:kern w:val="2"/>
          <w:sz w:val="26"/>
          <w:szCs w:val="26"/>
          <w:shd w:fill="auto" w:val="clear"/>
          <w:lang w:val="ru-RU" w:eastAsia="zh-CN" w:bidi="hi-IN"/>
        </w:rPr>
        <w:tab/>
      </w: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птицеводства.</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strike w:val="false"/>
          <w:dstrike w:val="false"/>
          <w:outline w:val="false"/>
          <w:shadow w:val="false"/>
          <w:color w:val="000000"/>
          <w:spacing w:val="0"/>
          <w:kern w:val="0"/>
          <w:sz w:val="28"/>
          <w:szCs w:val="22"/>
          <w:u w:val="none"/>
          <w:shd w:fill="FFFFFF" w:val="clear"/>
          <w:em w:val="none"/>
          <w:lang w:val="ru-RU" w:eastAsia="en-US" w:bidi="ar-SA"/>
        </w:rPr>
        <w:t xml:space="preserve">Птицеводство – одна из наиболее интенсивных и динамичных отраслей сельскохозяйственного производства. Состав участников рынка продукции птицеводства определяется многообразием форм хозяйствования и собственности. На территории района осуществляют деятельность 3 птицефабрики: ОАО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Малое предприятие в хуторе Бабиче-Кореновском организовали супруги Виктор и Яна Кадыковы, выращивают от 2 до 2,5 тысяч перепелов.</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Эстетическое удовольствие приносит декоративное птицеводство: разведение голубей, декоративных пород уток, гусей, кур, попугайчиков, канареек, и даже павлинов и фазанов (синий ушастый, королевский, алмазный, непальский). </w:t>
      </w:r>
    </w:p>
    <w:p>
      <w:pPr>
        <w:pStyle w:val="BodyText"/>
        <w:suppressAutoHyphens w:val="false"/>
        <w:spacing w:lineRule="auto" w:line="240" w:before="0" w:after="0"/>
        <w:jc w:val="both"/>
        <w:rPr/>
      </w:pP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ab/>
        <w:t xml:space="preserve">Традиционно в Кореновске каждое второе воскресенье месяца в любое время года и в любую погоду проходит выставка-ярмарка голубей. Здесь  представлены разные породы этих птиц, привезенных из разных уголков Кубани и Ставрополья. Кроме голубей посетители ярмарки могут приобрести кроликов разных пород - от карликовых декоративных до великанов, - а также попугайчиков, кур, уток и гусей. </w:t>
      </w:r>
    </w:p>
    <w:p>
      <w:pPr>
        <w:pStyle w:val="Normal"/>
        <w:suppressAutoHyphens w:val="false"/>
        <w:spacing w:lineRule="auto" w:line="240" w:before="0" w:after="0"/>
        <w:ind w:firstLine="709" w:right="-1"/>
        <w:jc w:val="both"/>
        <w:rPr/>
      </w:pPr>
      <w:r>
        <w:rPr>
          <w:rStyle w:val="Style20"/>
          <w:rFonts w:eastAsia="Times New Roman"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Доля субъектов частного бизнеса на рынке птицеводства в муниципальном образовании Кореновский район составляет 100%.</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caps w:val="false"/>
          <w:smallCaps w:val="false"/>
          <w:color w:val="000000"/>
          <w:spacing w:val="0"/>
          <w:kern w:val="0"/>
          <w:sz w:val="28"/>
          <w:szCs w:val="22"/>
          <w:shd w:fill="FFFFFF" w:val="clear"/>
          <w:lang w:val="ru-RU" w:eastAsia="en-US" w:bidi="ar-SA"/>
        </w:rPr>
        <w:t>- Рынок переработки водных биоресурсов.</w:t>
      </w:r>
      <w:r>
        <w:rPr>
          <w:rStyle w:val="Style20"/>
          <w:rFonts w:eastAsia="Calibri" w:cs="Times New Roman" w:ascii="Times New Roman" w:hAnsi="Times New Roman"/>
          <w:b w:val="false"/>
          <w:bCs w:val="false"/>
          <w:i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2024 году деятельность по переработке водных биоресурсов осуществляли глава КФХ А.Е. Дробот, ИП Кондрашов С.А., ИП Кондрашов И.А., представители ЛПХ.</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Включение рынка переработки водных биоресурсов в перечень приоритетных рынков связано с тем, что переработка водных биоресурсов должна рационально и в полной мере реализовать возможности сырья: извлекать как можно больше компонентов, расширять ассортимент для большего удовлетворения спроса потребителей.</w:t>
      </w:r>
    </w:p>
    <w:p>
      <w:pPr>
        <w:pStyle w:val="BodyText"/>
        <w:widowControl/>
        <w:suppressAutoHyphens w:val="false"/>
        <w:spacing w:lineRule="auto" w:line="240" w:before="0" w:after="0"/>
        <w:ind w:right="0"/>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Сегодня на данном рынке существуют следующие проблемы: низкая конкурентоспособность местной рыбной продукции; низкая доля глубокой переработки рыбной продукции в общем объёме перерабатываемой рыбы; отсутствие четкой оценки наличия административных барьеров с целью развития конкурентной среды на рынке переработки водных биоресурсов.</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переработки водных биоресурсов в муниципальном образовании Кореновский район составляет 100%.</w:t>
      </w:r>
    </w:p>
    <w:p>
      <w:pPr>
        <w:pStyle w:val="Normal"/>
        <w:suppressAutoHyphens w:val="false"/>
        <w:spacing w:lineRule="auto" w:line="240" w:before="0" w:after="0"/>
        <w:ind w:firstLine="709" w:right="-1"/>
        <w:jc w:val="both"/>
        <w:rPr>
          <w:rFonts w:ascii="Times New Roman" w:hAnsi="Times New Roman" w:eastAsia="Times New Roman" w:cs="Times New Roman"/>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0"/>
          <w:lang w:val="ru-RU" w:eastAsia="ru-RU" w:bidi="ar-SA"/>
        </w:rPr>
      </w:pPr>
      <w:r>
        <w:rPr>
          <w:rFonts w:eastAsia="Times New Roman" w:cs="Times New Roman" w:ascii="Times New Roman" w:hAnsi="Times New Roman"/>
          <w:b/>
          <w:color w:val="000000"/>
          <w:kern w:val="0"/>
          <w:sz w:val="28"/>
          <w:szCs w:val="20"/>
          <w:lang w:val="ru-RU" w:eastAsia="ru-RU" w:bidi="ar-SA"/>
        </w:rPr>
        <w:t>Анализ развития конкуренции на товарных рынках промышленного комплекса и добычи полезных ископаемых</w:t>
      </w:r>
    </w:p>
    <w:p>
      <w:pPr>
        <w:pStyle w:val="Normal"/>
        <w:widowControl/>
        <w:shd w:val="clear" w:fill="FFFFFF"/>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90 % считают, что количество организаций достаточно, 4 %, что мало, 6 %, что нет совсем.</w:t>
      </w:r>
    </w:p>
    <w:p>
      <w:pPr>
        <w:pStyle w:val="Normal"/>
        <w:widowControl/>
        <w:shd w:val="clear" w:fill="FFFFFF"/>
        <w:tabs>
          <w:tab w:val="clear" w:pos="708"/>
          <w:tab w:val="left" w:pos="2145" w:leader="none"/>
        </w:tabs>
        <w:suppressAutoHyphens w:val="false"/>
        <w:spacing w:lineRule="auto" w:line="240" w:before="0" w:after="0"/>
        <w:ind w:firstLine="709" w:right="-1"/>
        <w:contextualSpacing/>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Уровнем цен удовлетворены или скорее удовлетворены 59,5 процентов опрошенных, характеристиками качества услуг — 65,9%, уровнем доступности — 76,8%.</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«Промышленность и добыча полезных ископаемых» представлена: </w:t>
        <w:tab/>
      </w: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Рынком продукции машиностроения.</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В отрасли «производство машин и оборудования» осуществляет свою деятельность ООО «БДМ-Агро». </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Компания «БДМ-Агро» предлагает аграриям многофункциональную, энергонасыщенную сельхозтехнику, применение которой гарантирует эффективный результат при минимальной обработке почвы с последующим переходом на «нулевую», что дает возможность хозяйствам плавно, без неоправданных излишних затрат, перейти от традиционных к ресурсосберегающим технологиям. Такой комплекс машин позволяет снизить себестоимость продукции за счет сокращения затрат, повышения урожайности и способствует сохранению почвы для будущих поколений. Каталоги продукции размещены на Промышленном портале Краснодарского края.</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ООО «Техноиндустрия» 20 лет в Кореновске производит оборудование для выдува пластиковых бутылок любых форм и размеров, автоматы розлива спокойных жидкостей – воды, масла, бытовой химии и других. Кроме того, этикетировочные автоматы для наклеивания вкруговую полипропиленовой этикетки, конвейерные системы, накопительные столы и многое другое. Всего выпускают более 300 наименований продукции, которая востребована не только по всей России, но и практически во всех странах бывшего Советского Союза.</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На предприятии занято 60 человек. Каталоги продукции размещены на Промышленном портале Краснодарского края. Предприятие принимает участие во многих отечественных и зарубежных выставках.</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Остальные участники рынка — менее известные предприятия и индивидуальные предприятия. Доля субъектов частного бизнеса на рынке продукции машиностроения в муниципальном образовании Кореновский район составляет 100%.</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легкой промышленности</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представлен обособленным подразделением ПК «Швейк», индивидуальными предпринимателями ИП Полиев Владимир Саввич, ИП Юханова Марианна Евгеньевна, ИП Булгакова Татьяна Анатольевна, другие индивидуальные предприниматели и самозанятые граждане. Швейные мастерские и цеха производят широкий ассортимент продукции  (костюмы, сорочки,, школьная и казачья форма, военное обмундирование и спецодежда.</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В целях развития рынка легкой промышленности актуализируется Каталог производимой продукции, проводится информирование субъектов рынка о действующих мерах поддержки. </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Административных барьеров для выхода частного бизнеса на рынок нет. Проблемы рынка: дефицит квалифицированных швей, отсутствие у производителей собственных оборотных средств на модернизацию производственного оборудования.</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легкой промышленности в муниципальном образовании Кореновский район составляет 100%.</w:t>
      </w:r>
    </w:p>
    <w:p>
      <w:pPr>
        <w:pStyle w:val="Normal"/>
        <w:suppressAutoHyphens w:val="false"/>
        <w:spacing w:lineRule="auto" w:line="240" w:before="0" w:after="0"/>
        <w:ind w:firstLine="709" w:right="-1"/>
        <w:jc w:val="both"/>
        <w:rPr>
          <w:rFonts w:ascii="Times New Roman" w:hAnsi="Times New Roman" w:eastAsia="Calibri" w:cs="Times New Roman"/>
          <w:b w:val="false"/>
          <w:bCs w:val="false"/>
          <w:i w:val="false"/>
          <w:i w:val="false"/>
          <w:iCs w:val="false"/>
          <w:caps w:val="false"/>
          <w:smallCaps w:val="false"/>
          <w:color w:val="000000"/>
          <w:spacing w:val="0"/>
          <w:kern w:val="0"/>
          <w:sz w:val="28"/>
          <w:szCs w:val="22"/>
          <w:shd w:fill="FFFFFF" w:val="clear"/>
          <w:lang w:val="ru-RU" w:eastAsia="en-US" w:bidi="ar-SA"/>
        </w:rPr>
      </w:pPr>
      <w:r>
        <w:rPr>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bCs/>
          <w:color w:val="auto"/>
          <w:kern w:val="0"/>
          <w:sz w:val="28"/>
          <w:szCs w:val="20"/>
          <w:lang w:val="ru-RU" w:eastAsia="ru-RU" w:bidi="ar-SA"/>
        </w:rPr>
      </w:pPr>
      <w:r>
        <w:rPr>
          <w:rFonts w:eastAsia="Times New Roman" w:cs="Times New Roman" w:ascii="Times New Roman" w:hAnsi="Times New Roman"/>
          <w:b/>
          <w:bCs/>
          <w:color w:val="auto"/>
          <w:kern w:val="0"/>
          <w:sz w:val="28"/>
          <w:szCs w:val="20"/>
          <w:lang w:val="ru-RU" w:eastAsia="ru-RU" w:bidi="ar-SA"/>
        </w:rPr>
        <w:t>Анализ развития конкуренции на товарных рынках торговли и услуг, оказываемых населению</w:t>
      </w:r>
    </w:p>
    <w:p>
      <w:pPr>
        <w:pStyle w:val="Normal"/>
        <w:widowControl w:val="false"/>
        <w:shd w:val="clear" w:fill="FFFFFF"/>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большинство жителей 96 % считают, что количество организаций достаточно. 2 %, что мало, 2 %, что нет совсем.</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промышленного комплекса и добычи полезных ископаемых.</w:t>
      </w:r>
    </w:p>
    <w:p>
      <w:pPr>
        <w:pStyle w:val="Normal"/>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92 % считают, что уровень цен на услуги информационных технологий повысился, однако 86 % считают, что увеличилось качество и 88 %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В сферу «Торговля и услуги населению» входят следующие рынки:</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розничной торговли.</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Рынок услуг розничной торговли муниципального образования это важное направление в экономики, которое динамично развивается. На территории муниципального образования Кореновский район осуществляют деятельность 723 единицы стационарных торговых объектов. Обеспеченность торговыми площадями на 1000 жителей в Кореновском районе  составляет 714,9 кв. метров, что превышает нормативные показатели на 56 %.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настоящее время в целях развития конкуренции на территории муниципального образования Кореновский район на указанном рынке осуществляется реализация следующих мер: еженедельный мониторинг цен на социально значимые товары; проведение информационно-разъяснительной работы для предпринимателей по вопросам налогообложения  и возможности получения микрозайма в «Фонде микрофинансирования субъектов малого и среднего предпринимательства Краснодарского края»; проведение ярмарок на территории района  с участием предпринимателей муниципального образования; проведение бизнес встреч и обучающих семинаров для индивидуальных предпринимателей.</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торговли в муниципальном образовании Кореновский район составляет 98,5%.</w:t>
      </w:r>
    </w:p>
    <w:p>
      <w:pPr>
        <w:pStyle w:val="Normal"/>
        <w:spacing w:lineRule="auto" w:line="240" w:before="0" w:after="0"/>
        <w:ind w:firstLine="708" w:right="0"/>
        <w:jc w:val="both"/>
        <w:rPr>
          <w:rFonts w:ascii="Times New Roman" w:hAnsi="Times New Roman" w:eastAsia="Calibri" w:cs="Times New Roman"/>
          <w:bCs/>
          <w:kern w:val="0"/>
          <w:sz w:val="28"/>
          <w:szCs w:val="28"/>
          <w:lang w:eastAsia="en-US"/>
        </w:rPr>
      </w:pPr>
      <w:r>
        <w:rPr>
          <w:rFonts w:eastAsia="Calibri" w:cs="Times New Roman" w:ascii="Times New Roman" w:hAnsi="Times New Roman"/>
          <w:bCs/>
          <w:kern w:val="0"/>
          <w:sz w:val="28"/>
          <w:szCs w:val="28"/>
          <w:lang w:eastAsia="en-US"/>
        </w:rPr>
        <w:t>С точки зрения развития конкуренции рынок является достаточно развитым.</w:t>
      </w:r>
    </w:p>
    <w:p>
      <w:pPr>
        <w:pStyle w:val="Normal"/>
        <w:suppressAutoHyphens w:val="false"/>
        <w:spacing w:lineRule="auto" w:line="240" w:before="0" w:after="0"/>
        <w:ind w:firstLine="708"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8"/>
          <w:shd w:fill="FFFFFF" w:val="clear"/>
          <w:lang w:val="ru-RU" w:eastAsia="en-US" w:bidi="ar-SA"/>
        </w:rPr>
        <w:t>Явных административных барьеров для входа на рынок предпринимательским сообществом не отмечается.</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Рынок лабораторных исследований для выдачи ветеринарных сопроводительных документов.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Согласно информации Управления Федеральной службы по надзору в сфере защиты прав потребителей и благополучия человека по Краснодарскому краю является территориальным органом Федеральной службы по надзору в сфере защиты прав потребителей и благополучия человека и проведенного мониторинга хозяйствующих субъектов района, потребители рынка лабораторных исследований для выдачи ветеринарных сопроводительных документов (предприятия Кореновского района) для целей сертификации производимой продукции пользуются услугами следующих субъектов данного рынка: ООО «Премикс» (Тимашевский район), ФГБУ «Краснодарская межобластная ветеринарная лаборатория», ФГБОУ ВО «Кубанский государственный аграрный университет», Лаборатория ООО «Центр Контроля Качества». </w:t>
      </w:r>
    </w:p>
    <w:p>
      <w:pPr>
        <w:pStyle w:val="NoSpacing"/>
        <w:widowControl/>
        <w:tabs>
          <w:tab w:val="clear" w:pos="708"/>
          <w:tab w:val="left" w:pos="993" w:leader="none"/>
        </w:tabs>
        <w:suppressAutoHyphens w:val="false"/>
        <w:bidi w:val="0"/>
        <w:spacing w:lineRule="auto" w:line="240" w:before="0" w:after="0"/>
        <w:ind w:firstLine="708" w:right="0"/>
        <w:jc w:val="both"/>
        <w:rPr/>
      </w:pPr>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Ветеринарная лаборатория ГБУ КК «Ветуправление Краснодарского края» промимо проведения лабораторных анализов выступает в качестве испытательного центра в Системе Р сертификации продукции животного и растительного происхождения, продовольственного сырья и кормов.</w:t>
      </w:r>
    </w:p>
    <w:p>
      <w:pPr>
        <w:pStyle w:val="NoSpacing"/>
        <w:widowControl/>
        <w:tabs>
          <w:tab w:val="clear" w:pos="708"/>
          <w:tab w:val="left" w:pos="993" w:leader="none"/>
        </w:tabs>
        <w:suppressAutoHyphens w:val="false"/>
        <w:bidi w:val="0"/>
        <w:spacing w:lineRule="auto" w:line="240" w:before="0" w:after="0"/>
        <w:ind w:firstLine="708" w:right="0"/>
        <w:jc w:val="both"/>
        <w:rPr/>
      </w:pPr>
      <w:r>
        <w:rPr>
          <w:rStyle w:val="Style20"/>
          <w:rFonts w:eastAsia="Times New Roman" w:cs="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Большую долю данного рынка на территории района занимают государственные учреждения. Доля частного бизнеса на рынке района 40%.</w:t>
      </w:r>
    </w:p>
    <w:p>
      <w:pPr>
        <w:pStyle w:val="NoSpacing"/>
        <w:widowControl/>
        <w:tabs>
          <w:tab w:val="clear" w:pos="708"/>
          <w:tab w:val="left" w:pos="993" w:leader="none"/>
        </w:tabs>
        <w:suppressAutoHyphens w:val="false"/>
        <w:bidi w:val="0"/>
        <w:spacing w:lineRule="auto" w:line="240" w:before="0" w:after="0"/>
        <w:ind w:firstLine="708" w:right="0"/>
        <w:jc w:val="both"/>
        <w:rPr/>
      </w:pPr>
      <w:r>
        <w:rPr>
          <w:rStyle w:val="Style20"/>
          <w:rFonts w:eastAsia="Calibri" w:cs="Times New Roman"/>
          <w:b/>
          <w:bCs/>
          <w:i w:val="false"/>
          <w:iCs w:val="false"/>
          <w:caps w:val="false"/>
          <w:smallCaps w:val="false"/>
          <w:color w:val="000000"/>
          <w:spacing w:val="0"/>
          <w:kern w:val="0"/>
          <w:sz w:val="28"/>
          <w:szCs w:val="22"/>
          <w:shd w:fill="FFFFFF" w:val="clear"/>
          <w:lang w:val="ru-RU" w:eastAsia="en-US" w:bidi="ar-SA"/>
        </w:rPr>
        <w:t>- Рынок услуг озеленения и ландшафтного дизайна.</w:t>
      </w:r>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Национальный проект «Жилье и городская среда» включает реализацию федерального проекта </w:t>
      </w:r>
      <w:hyperlink r:id="rId2">
        <w:r>
          <w:rPr>
            <w:rStyle w:val="Hyperlink"/>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«Формирование комфортной городской среды»</w:t>
        </w:r>
      </w:hyperlink>
      <w:r>
        <w:rPr>
          <w:rStyle w:val="Style20"/>
          <w:rFonts w:eastAsia="Calibri" w:cs="Times New Roman"/>
          <w:b w:val="false"/>
          <w:bCs w:val="false"/>
          <w:i w:val="false"/>
          <w:iCs w:val="false"/>
          <w:caps w:val="false"/>
          <w:smallCaps w:val="false"/>
          <w:color w:val="000000"/>
          <w:spacing w:val="0"/>
          <w:kern w:val="0"/>
          <w:sz w:val="28"/>
          <w:szCs w:val="22"/>
          <w:shd w:fill="FFFFFF" w:val="clear"/>
          <w:lang w:val="ru-RU" w:eastAsia="en-US" w:bidi="ar-SA"/>
        </w:rPr>
        <w:t xml:space="preserve"> на период 2019-2024 годы. Озеленение и ландшафтный дизайн — неотъемлемая часть благоустройства как населенных пунктов, так и приусадебных участков.</w:t>
      </w:r>
    </w:p>
    <w:p>
      <w:pPr>
        <w:pStyle w:val="ListParagraph"/>
        <w:widowControl w:val="false"/>
        <w:suppressAutoHyphens w:val="false"/>
        <w:bidi w:val="0"/>
        <w:spacing w:lineRule="auto" w:line="240" w:before="0" w:after="0"/>
        <w:ind w:left="0" w:right="0"/>
        <w:contextualSpacing/>
        <w:jc w:val="both"/>
        <w:rPr/>
      </w:pPr>
      <w:r>
        <w:rPr>
          <w:rStyle w:val="Style20"/>
          <w:rFonts w:eastAsia="Times New Roman"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сегмент рынка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suppressAutoHyphens w:val="false"/>
        <w:bidi w:val="0"/>
        <w:spacing w:lineRule="auto" w:line="240" w:before="0" w:after="0"/>
        <w:ind w:left="0" w:right="0"/>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На рынке присутствуют следующие участники: ИП «Лещева Ольга Ивановна (ИНН 233503909018) питомник «Лесной двор», цветоводы — ИП Полянский Александр Семенович (ИНН 233501778779) и Тарасова Евгения Алексеевна (ИНН 233500032392), ИП Шарапова Лидия Ивановна (ИНН 861500145013) «Сад Грез» (саженцы деревьев), ИП Глава КФХ Ананьин Николай Владимирович (ИНН 342899645280), ИП Соснина Марина Юрьевна (ИНН 230811696672), ГУ КК «Управление Краснодарлес» Кореновский лесхоз, дизайнеры приусадебных участков — простые жители населенных пунктов, желающие украсить и озеленить свою придомовую территорию. </w:t>
      </w:r>
    </w:p>
    <w:p>
      <w:pPr>
        <w:pStyle w:val="ListParagraph"/>
        <w:widowControl w:val="false"/>
        <w:suppressAutoHyphens w:val="false"/>
        <w:bidi w:val="0"/>
        <w:spacing w:lineRule="auto" w:line="240" w:before="0" w:after="0"/>
        <w:ind w:left="0" w:right="0"/>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территории района профессиональную деятельность осуществляет МКУ КГП КР «Центр озеленения», производящий закупки посадочного материала не только у местных поставщиков, но и за пределами района. На ярмарках саженцы деревьев и цветов предлагают питомники края и местные жители.</w:t>
      </w:r>
    </w:p>
    <w:p>
      <w:pPr>
        <w:pStyle w:val="ListParagraph"/>
        <w:widowControl w:val="false"/>
        <w:suppressAutoHyphens w:val="false"/>
        <w:bidi w:val="0"/>
        <w:spacing w:lineRule="auto" w:line="240" w:before="0" w:after="0"/>
        <w:ind w:left="0" w:right="0"/>
        <w:contextualSpacing/>
        <w:jc w:val="both"/>
        <w:rPr/>
      </w:pPr>
      <w:r>
        <w:rPr>
          <w:rStyle w:val="Style20"/>
          <w:rFonts w:eastAsia="Times New Roman"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 Доля услуг в области озеленения и ландшафтного дизайна, оказанных (выполненных) организациями частной формы собственности, в муниципальном образовании Кореновский район составляет 84,6%.</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услуг общественного питания.</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Количество общедоступной сети предприятий общественного питания муниципального образования муниципального образования Кореновский район на 01.01.2025 представлено 57 предприятиями на 2161 посадочное место. Большая часть предприятий (более 70 процентов) общественного питания находится в Кореновском городском поселении. </w:t>
      </w:r>
    </w:p>
    <w:p>
      <w:pPr>
        <w:pStyle w:val="21"/>
        <w:tabs>
          <w:tab w:val="clear" w:pos="708"/>
          <w:tab w:val="left" w:pos="851" w:leader="none"/>
        </w:tabs>
        <w:suppressAutoHyphens w:val="false"/>
        <w:spacing w:lineRule="auto" w:line="240" w:before="0" w:after="0"/>
        <w:ind w:firstLine="720"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Крупные предприятия района имеют столовые для питания своих работников обедами по себестоимости. 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услуг в сфере общественного питания, оказанных (выполненных) организациями частной формы собственности, в муниципальном образовании Кореновский район составляет 98,9%.</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ветеринарных услуг.</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По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 хозяева желают самого лучшего: качественных кормов, разнообразных игрушек и — конечно — медицинского сервиса на высшем уровне. Поэтому ветеринарный бизнес в нашей стране приобретает все бόльшую популярность и становится довольно прибыльным делом. Его развитие можно отследить по трем основным направлениям: ветеринарные клиники, ветаптеки и ветмагазины.</w:t>
      </w:r>
    </w:p>
    <w:p>
      <w:pPr>
        <w:pStyle w:val="Normal"/>
        <w:widowControl w:val="false"/>
        <w:suppressAutoHyphens w:val="false"/>
        <w:bidi w:val="0"/>
        <w:spacing w:lineRule="auto" w:line="240" w:before="0" w:after="0"/>
        <w:ind w:right="0"/>
        <w:jc w:val="both"/>
        <w:rPr/>
      </w:pPr>
      <w:r>
        <w:rPr>
          <w:rStyle w:val="Style20"/>
          <w:rFonts w:eastAsia="Times New Roman"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Ветеринарные услуги государственных учреждений ветеринарии в Кореновском районе включают комплексное обслуживание по договорам с сельскохозяйственными предприятиями разных форм собственности, диагностические исследования, вакцинации, дегельминтизации, обработки, ветеринарно-санитарные работы, лечение больных животных, выдачу ветеринарных сопроводительных документов, консультации по вопросам кормления, содержания и профилактики болезней животных, ветеринарно-санитарную экспертизу продукции животного и растительного происхождения, исследования и лечение животных при акушерско-гинекологических болезнях.</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У частного бизнеса нет жестких требований к локации или размеру населенного пункта. Роль играет уровень конкуренции в точке, где открыта клиника. Форматов работы может быть два: частные услуги и ветеринарная клиника. </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На территории Кореновского района осуществляют деятельность три клиники: КБУ КК «Управление ветеринарии», ООО «Ника» и ООО «Центр ветеринарной медицины», 5 веткабинетов, 2 ветаптеки, салон ухода за животными «Маркиз» и груминг-студия.</w:t>
      </w:r>
    </w:p>
    <w:p>
      <w:pPr>
        <w:pStyle w:val="Normal"/>
        <w:suppressAutoHyphens w:val="false"/>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Животные нуждаются не только в лечении, но и в</w:t>
        <w:br/>
        <w:t>профилактике заболеваний не меньше людей, и наличие высококлассных</w:t>
        <w:br/>
        <w:t>профессионалов, которые в любое время могут оказать врачебную помощь</w:t>
        <w:br/>
        <w:t xml:space="preserve">просто необходимо.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Доля присутствия частного бизнеса на рынке ветеринарных услуг составляет </w:t>
      </w:r>
      <w:bookmarkStart w:id="3" w:name="page3R_mcid5"/>
      <w:bookmarkEnd w:id="3"/>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более 87,5 %.</w:t>
      </w:r>
    </w:p>
    <w:p>
      <w:pPr>
        <w:pStyle w:val="Normal"/>
        <w:spacing w:lineRule="auto" w:line="240" w:before="0" w:after="0"/>
        <w:ind w:firstLine="708" w:right="0"/>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xml:space="preserve">- Сфера наружной рекламы. </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На территории муниципального образования размещено 30 билбордов, 109 пилонов и мест размещения объявлений на остановочных комплексах.  Осуществляется прием граждан по вопросам, касающимся размещения наружной рекламы и информации. Проводится анализ соответствия рекламной (информационной) конструкции эскизному проекту (схеме) размещения.</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организаций частной формы собственности в общем обороте хозяйствующих субъектов, присутствующих на рынке наружной рекламы – 100%.</w:t>
      </w:r>
    </w:p>
    <w:p>
      <w:pPr>
        <w:pStyle w:val="Normal"/>
        <w:widowControl w:val="false"/>
        <w:shd w:val="clear" w:fill="FFFFFF"/>
        <w:tabs>
          <w:tab w:val="clear" w:pos="708"/>
          <w:tab w:val="left" w:pos="2145" w:leader="none"/>
        </w:tabs>
        <w:suppressAutoHyphens w:val="false"/>
        <w:spacing w:lineRule="auto" w:line="240" w:before="0" w:after="0"/>
        <w:ind w:firstLine="709"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 точки зрения развития конкуренции рынок является развивающимся. Явных административных барьеров для входа на рынок предпринимательским сообществом не отмечается. </w:t>
      </w:r>
    </w:p>
    <w:p>
      <w:pPr>
        <w:pStyle w:val="Normal"/>
        <w:suppressAutoHyphens w:val="false"/>
        <w:spacing w:lineRule="auto" w:line="240" w:before="0" w:after="0"/>
        <w:ind w:firstLine="709" w:right="-1"/>
        <w:jc w:val="both"/>
        <w:rPr/>
      </w:pP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 Рынок оказания дизайнерских услуг.</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разработка дизайн проекта помещения, без которого говорить о качестве и безопасности ремонта нет смысла. 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 На рынке дизайнерских услуг в Кореновском районе работают 2 юридических лица и 4 ИП. Средняя стоимость дизайн-проекта помещения 3000 руб/кв.м.</w:t>
      </w:r>
    </w:p>
    <w:p>
      <w:pPr>
        <w:pStyle w:val="ListParagraph"/>
        <w:widowControl w:val="false"/>
        <w:suppressAutoHyphens w:val="false"/>
        <w:bidi w:val="0"/>
        <w:spacing w:lineRule="auto" w:line="240" w:before="0" w:after="0"/>
        <w:ind w:left="0" w:right="0"/>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На рынке осуществляют деятельность Дизайн-студия «Ваш интерьер», ИП Бобраков Алексей Михайлович, ИП Куркин Константин Алексеевич, ИП Рыбкина Людмила Александровна, ИП Котикова Людмила Сергеевна, ООО фирма “Капитель-1". </w:t>
      </w:r>
    </w:p>
    <w:p>
      <w:pPr>
        <w:pStyle w:val="BodyText"/>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Доля субъектов частного бизнеса на рынке оказания дизайнерских услуг в муниципальном образовании Кореновский район составляет 100%.</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осуществляет деятельность в сфере торговли и услуг населению от 5 лет, следовательно, обладает опытом ведения бизнеса. При проведении анализа ответов респондентов выявлено, что на рынках сферы торговли и услуг наблюдается умеренный уровень конкуренции. </w:t>
      </w:r>
    </w:p>
    <w:p>
      <w:pPr>
        <w:pStyle w:val="Normal"/>
        <w:suppressAutoHyphens w:val="false"/>
        <w:spacing w:lineRule="auto" w:line="240" w:before="0" w:after="0"/>
        <w:ind w:firstLine="709" w:right="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Большая часть опрошенных жителей муниципального образования Кореновский район охарактеризовали сферу как развитую отрасль, способную удовлетворить потребности во всех ассортиментных и ценовых категориях, а работу предпринимателей, занятых розничной торговлей оценили как удовлетворительное. </w:t>
      </w:r>
    </w:p>
    <w:p>
      <w:pPr>
        <w:pStyle w:val="Normal"/>
        <w:suppressAutoHyphens w:val="false"/>
        <w:spacing w:lineRule="auto" w:line="240" w:before="0" w:after="0"/>
        <w:ind w:firstLine="709" w:right="0"/>
        <w:jc w:val="both"/>
        <w:rPr>
          <w:rFonts w:ascii="Times New Roman" w:hAnsi="Times New Roman" w:eastAsia="Calibri" w:cs="Times New Roman"/>
          <w:b w:val="false"/>
          <w:bCs w:val="false"/>
          <w:i w:val="false"/>
          <w:i w:val="false"/>
          <w:iCs w:val="false"/>
          <w:caps w:val="false"/>
          <w:smallCaps w:val="false"/>
          <w:color w:val="000000"/>
          <w:spacing w:val="0"/>
          <w:kern w:val="0"/>
          <w:sz w:val="28"/>
          <w:szCs w:val="22"/>
          <w:shd w:fill="FFFFFF" w:val="clear"/>
          <w:lang w:val="ru-RU" w:eastAsia="en-US" w:bidi="ar-SA"/>
        </w:rPr>
      </w:pPr>
      <w:r>
        <w:rPr>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8"/>
          <w:lang w:val="ru-RU" w:eastAsia="ru-RU" w:bidi="ar-SA"/>
        </w:rPr>
      </w:pPr>
      <w:r>
        <w:rPr>
          <w:rFonts w:eastAsia="Times New Roman" w:cs="Times New Roman" w:ascii="Times New Roman" w:hAnsi="Times New Roman"/>
          <w:b/>
          <w:color w:val="000000"/>
          <w:kern w:val="0"/>
          <w:sz w:val="28"/>
          <w:szCs w:val="28"/>
          <w:lang w:val="ru-RU" w:eastAsia="ru-RU" w:bidi="ar-SA"/>
        </w:rPr>
        <w:t xml:space="preserve">Анализ развития конкуренции </w:t>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8"/>
          <w:lang w:val="ru-RU" w:eastAsia="ru-RU" w:bidi="ar-SA"/>
        </w:rPr>
      </w:pPr>
      <w:r>
        <w:rPr>
          <w:rFonts w:eastAsia="Times New Roman" w:cs="Times New Roman" w:ascii="Times New Roman" w:hAnsi="Times New Roman"/>
          <w:b/>
          <w:color w:val="000000"/>
          <w:kern w:val="0"/>
          <w:sz w:val="28"/>
          <w:szCs w:val="28"/>
          <w:lang w:val="ru-RU" w:eastAsia="ru-RU" w:bidi="ar-SA"/>
        </w:rPr>
        <w:t>на товарных рынках санаторно-курортного комплекса</w:t>
      </w:r>
    </w:p>
    <w:p>
      <w:pPr>
        <w:pStyle w:val="Normal"/>
        <w:widowControl/>
        <w:shd w:val="clear" w:fill="FFFFFF"/>
        <w:tabs>
          <w:tab w:val="clear" w:pos="708"/>
          <w:tab w:val="left" w:pos="2145" w:leader="none"/>
        </w:tabs>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По результатам опроса, мнение жителей разделились на одинаковый процент голосов, 64 % считают, что количество организаций достаточно,32 %, что мало, 4 %, что нет совсем.</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санаторно-курортного комплекса.</w:t>
      </w:r>
    </w:p>
    <w:p>
      <w:pPr>
        <w:pStyle w:val="Normal"/>
        <w:suppressAutoHyphens w:val="false"/>
        <w:spacing w:lineRule="auto" w:line="240" w:before="0" w:after="0"/>
        <w:ind w:firstLine="851" w:right="0"/>
        <w:jc w:val="both"/>
        <w:textAlignment w:val="auto"/>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Большинство респондентов 72 % считают, что уровень цен на услуги санаторно-курортного комплекса повысился, однако 67 % считают, что увеличилось качество и 68 %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Сфера санаторно-курортного комплекса включает </w:t>
      </w:r>
      <w:r>
        <w:rPr>
          <w:rStyle w:val="Style20"/>
          <w:rFonts w:eastAsia="Calibri" w:cs="Times New Roman" w:ascii="Times New Roman" w:hAnsi="Times New Roman"/>
          <w:b/>
          <w:bCs/>
          <w:i w:val="false"/>
          <w:iCs w:val="false"/>
          <w:caps w:val="false"/>
          <w:smallCaps w:val="false"/>
          <w:color w:val="000000"/>
          <w:spacing w:val="0"/>
          <w:kern w:val="0"/>
          <w:sz w:val="28"/>
          <w:szCs w:val="22"/>
          <w:shd w:fill="FFFFFF" w:val="clear"/>
          <w:lang w:val="ru-RU" w:eastAsia="en-US" w:bidi="ar-SA"/>
        </w:rPr>
        <w:t>Рынок санаторно-курортных услуг.</w:t>
      </w: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 xml:space="preserve"> Это конкурентный рынок, предполагающий наличие большого количества независимо действующих продавцов и покупателей, обменивающихся стандартизированными и лицензированными услугами, которые имеют цену.</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 В 2024 году на территории муниципального образования Кореновский район гостей Краснодарского края встречали 12 средств размещения, общий номерной фонд указанных объектов  — 343 номера.</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Вдоль федеральной автотрассы М-4 «Дон» расположен садово-парковый оздоровительный центр «Сад Грез». Для жителей и гостей края на территории муниципального образования осуществляет деятельность база отдыха «Поместье». </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Доля хозяйствующих субъектов частной собственности данного рынка на территории муниципального образования Кореновский район составляет 100%.</w:t>
      </w:r>
    </w:p>
    <w:p>
      <w:pPr>
        <w:pStyle w:val="BodyText"/>
        <w:spacing w:lineRule="auto" w:line="240" w:before="0" w:after="0"/>
        <w:jc w:val="both"/>
        <w:rPr/>
      </w:pPr>
      <w:r>
        <w:rPr>
          <w:rStyle w:val="Style20"/>
          <w:rFonts w:eastAsia="Calibri" w:cs="Times New Roman" w:ascii="Times New Roman" w:hAnsi="Times New Roman"/>
          <w:b w:val="false"/>
          <w:bCs w:val="false"/>
          <w:i w:val="false"/>
          <w:iCs w:val="false"/>
          <w:caps w:val="false"/>
          <w:smallCaps w:val="false"/>
          <w:color w:val="000000"/>
          <w:spacing w:val="0"/>
          <w:kern w:val="0"/>
          <w:sz w:val="28"/>
          <w:szCs w:val="22"/>
          <w:shd w:fill="FFFFFF" w:val="clear"/>
          <w:lang w:val="ru-RU" w:eastAsia="en-US" w:bidi="ar-SA"/>
        </w:rPr>
        <w:tab/>
        <w:t xml:space="preserve"> В 2024 году </w:t>
      </w:r>
      <w:r>
        <w:rPr>
          <w:rStyle w:val="Style20"/>
          <w:rFonts w:eastAsia="Calibri" w:cs="TimesNewRomanPSMT" w:ascii="TimesNewRomanPSMT" w:hAnsi="TimesNewRomanPSMT"/>
          <w:b w:val="false"/>
          <w:bCs w:val="false"/>
          <w:i w:val="false"/>
          <w:iCs w:val="false"/>
          <w:caps w:val="false"/>
          <w:smallCaps w:val="false"/>
          <w:color w:val="000000"/>
          <w:spacing w:val="0"/>
          <w:kern w:val="0"/>
          <w:sz w:val="28"/>
          <w:szCs w:val="28"/>
          <w:shd w:fill="FFFFFF" w:val="clear"/>
          <w:lang w:val="ru-RU" w:eastAsia="en-US" w:bidi="ar-SA"/>
        </w:rPr>
        <w:t>туристический поток составил</w:t>
      </w:r>
      <w:r>
        <w:rPr>
          <w:rFonts w:eastAsia="Calibri" w:cs="TimesNewRomanPSMT" w:ascii="TimesNewRomanPSMT" w:hAnsi="TimesNewRomanPSMT"/>
          <w:kern w:val="0"/>
          <w:sz w:val="28"/>
          <w:szCs w:val="28"/>
          <w:lang w:eastAsia="en-US"/>
        </w:rPr>
        <w:t xml:space="preserve"> порядка </w:t>
      </w:r>
      <w:r>
        <w:rPr>
          <w:rFonts w:eastAsia="Calibri" w:cs="TimesNewRomanPSMT" w:ascii="TimesNewRomanPSMT" w:hAnsi="TimesNewRomanPSMT"/>
          <w:color w:val="auto"/>
          <w:kern w:val="0"/>
          <w:sz w:val="28"/>
          <w:szCs w:val="28"/>
          <w:lang w:val="ru-RU" w:eastAsia="en-US" w:bidi="ar-SA"/>
        </w:rPr>
        <w:t>19,729</w:t>
      </w:r>
      <w:r>
        <w:rPr>
          <w:rFonts w:eastAsia="Calibri" w:cs="TimesNewRomanPSMT" w:ascii="TimesNewRomanPSMT" w:hAnsi="TimesNewRomanPSMT"/>
          <w:kern w:val="0"/>
          <w:sz w:val="28"/>
          <w:szCs w:val="28"/>
          <w:lang w:eastAsia="en-US"/>
        </w:rPr>
        <w:t xml:space="preserve"> </w:t>
      </w:r>
      <w:r>
        <w:rPr>
          <w:rFonts w:eastAsia="Calibri" w:cs="TimesNewRomanPSMT" w:ascii="TimesNewRomanPSMT" w:hAnsi="TimesNewRomanPSMT"/>
          <w:color w:val="auto"/>
          <w:kern w:val="0"/>
          <w:sz w:val="28"/>
          <w:szCs w:val="28"/>
          <w:lang w:val="ru-RU" w:eastAsia="en-US" w:bidi="ar-SA"/>
        </w:rPr>
        <w:t>тыс</w:t>
      </w:r>
      <w:r>
        <w:rPr>
          <w:rFonts w:eastAsia="Calibri" w:cs="TimesNewRomanPSMT" w:ascii="TimesNewRomanPSMT" w:hAnsi="TimesNewRomanPSMT"/>
          <w:kern w:val="0"/>
          <w:sz w:val="28"/>
          <w:szCs w:val="28"/>
          <w:lang w:eastAsia="en-US"/>
        </w:rPr>
        <w:t xml:space="preserve">. человек (с учетом </w:t>
      </w:r>
      <w:r>
        <w:rPr>
          <w:rFonts w:eastAsia="Calibri" w:cs="TimesNewRomanPSMT" w:ascii="TimesNewRomanPSMT" w:hAnsi="TimesNewRomanPSMT"/>
          <w:color w:val="auto"/>
          <w:kern w:val="0"/>
          <w:sz w:val="28"/>
          <w:szCs w:val="28"/>
          <w:lang w:val="ru-RU" w:eastAsia="en-US" w:bidi="ar-SA"/>
        </w:rPr>
        <w:t>транзитных туристов</w:t>
      </w:r>
      <w:r>
        <w:rPr>
          <w:rFonts w:eastAsia="Calibri" w:cs="TimesNewRomanPSMT" w:ascii="TimesNewRomanPSMT" w:hAnsi="TimesNewRomanPSMT"/>
          <w:kern w:val="0"/>
          <w:sz w:val="28"/>
          <w:szCs w:val="28"/>
          <w:lang w:eastAsia="en-US"/>
        </w:rPr>
        <w:t>).</w:t>
      </w:r>
    </w:p>
    <w:p>
      <w:pPr>
        <w:pStyle w:val="Normal"/>
        <w:suppressAutoHyphens w:val="false"/>
        <w:spacing w:lineRule="auto" w:line="240" w:before="0" w:after="0"/>
        <w:ind w:firstLine="709" w:right="0"/>
        <w:jc w:val="both"/>
        <w:textAlignment w:val="auto"/>
        <w:rPr>
          <w:rFonts w:ascii="TimesNewRomanPSMT" w:hAnsi="TimesNewRomanPSMT" w:eastAsia="Calibri" w:cs="TimesNewRomanPSMT"/>
          <w:kern w:val="0"/>
          <w:sz w:val="28"/>
          <w:szCs w:val="28"/>
          <w:lang w:eastAsia="en-US"/>
        </w:rPr>
      </w:pPr>
      <w:r>
        <w:rPr>
          <w:rFonts w:eastAsia="Calibri" w:cs="TimesNewRomanPSMT" w:ascii="TimesNewRomanPSMT" w:hAnsi="TimesNewRomanPSMT"/>
          <w:kern w:val="0"/>
          <w:sz w:val="28"/>
          <w:szCs w:val="28"/>
          <w:lang w:eastAsia="en-US"/>
        </w:rPr>
        <w:t>С точки зрения развития конкуренции рынок является развивающимся.</w:t>
      </w:r>
    </w:p>
    <w:p>
      <w:pPr>
        <w:pStyle w:val="Normal"/>
        <w:suppressAutoHyphens w:val="false"/>
        <w:spacing w:lineRule="auto" w:line="240" w:before="0" w:after="0"/>
        <w:ind w:firstLine="709" w:right="0"/>
        <w:jc w:val="both"/>
        <w:textAlignment w:val="auto"/>
        <w:rPr>
          <w:rFonts w:ascii="TimesNewRomanPSMT" w:hAnsi="TimesNewRomanPSMT" w:eastAsia="Calibri" w:cs="TimesNewRomanPSMT"/>
          <w:kern w:val="0"/>
          <w:sz w:val="28"/>
          <w:szCs w:val="28"/>
          <w:lang w:eastAsia="en-US"/>
        </w:rPr>
      </w:pPr>
      <w:r>
        <w:rPr>
          <w:rFonts w:eastAsia="Calibri" w:cs="TimesNewRomanPSMT" w:ascii="TimesNewRomanPSMT" w:hAnsi="TimesNewRomanPSMT"/>
          <w:kern w:val="0"/>
          <w:sz w:val="28"/>
          <w:szCs w:val="28"/>
          <w:lang w:eastAsia="en-US"/>
        </w:rPr>
        <w:t>Явных административных барьеров для входа на рынок предпринимательским сообществом не отмечается.</w:t>
      </w:r>
    </w:p>
    <w:p>
      <w:pPr>
        <w:pStyle w:val="Normal"/>
        <w:widowControl w:val="false"/>
        <w:shd w:val="clear" w:fill="FFFFFF"/>
        <w:tabs>
          <w:tab w:val="clear" w:pos="708"/>
          <w:tab w:val="left" w:pos="2145" w:leader="none"/>
        </w:tabs>
        <w:suppressAutoHyphens w:val="false"/>
        <w:spacing w:lineRule="auto" w:line="240" w:before="0" w:after="0"/>
        <w:ind w:firstLine="709" w:right="0"/>
        <w:jc w:val="both"/>
        <w:textAlignment w:val="auto"/>
        <w:rPr>
          <w:rFonts w:ascii="TimesNewRomanPSMT" w:hAnsi="TimesNewRomanPSMT" w:eastAsia="Calibri" w:cs="TimesNewRomanPSMT"/>
          <w:kern w:val="0"/>
          <w:sz w:val="28"/>
          <w:szCs w:val="28"/>
          <w:lang w:eastAsia="en-US"/>
        </w:rPr>
      </w:pPr>
      <w:r>
        <w:rPr>
          <w:rFonts w:eastAsia="Calibri" w:cs="TimesNewRomanPSMT" w:ascii="TimesNewRomanPSMT" w:hAnsi="TimesNewRomanPSMT"/>
          <w:kern w:val="0"/>
          <w:sz w:val="28"/>
          <w:szCs w:val="28"/>
          <w:lang w:eastAsia="en-US"/>
        </w:rPr>
      </w:r>
    </w:p>
    <w:p>
      <w:pPr>
        <w:pStyle w:val="ListParagraph"/>
        <w:widowControl/>
        <w:shd w:val="clear" w:fill="FFFFFF"/>
        <w:tabs>
          <w:tab w:val="clear" w:pos="708"/>
          <w:tab w:val="left" w:pos="2145" w:leader="none"/>
        </w:tabs>
        <w:suppressAutoHyphens w:val="false"/>
        <w:spacing w:lineRule="auto" w:line="276" w:before="0" w:after="200"/>
        <w:ind w:left="0" w:right="0"/>
        <w:contextualSpacing/>
        <w:jc w:val="center"/>
        <w:textAlignment w:val="auto"/>
        <w:rPr>
          <w:rFonts w:ascii="Times New Roman" w:hAnsi="Times New Roman" w:eastAsia="Times New Roman" w:cs="Times New Roman"/>
          <w:b/>
          <w:color w:val="000000"/>
          <w:kern w:val="0"/>
          <w:sz w:val="28"/>
          <w:szCs w:val="24"/>
          <w:lang w:val="ru-RU" w:eastAsia="ru-RU" w:bidi="ar-SA"/>
        </w:rPr>
      </w:pPr>
      <w:r>
        <w:rPr>
          <w:rFonts w:eastAsia="Times New Roman" w:cs="Times New Roman" w:ascii="Times New Roman" w:hAnsi="Times New Roman"/>
          <w:b/>
          <w:color w:val="000000"/>
          <w:kern w:val="0"/>
          <w:sz w:val="28"/>
          <w:szCs w:val="24"/>
          <w:lang w:val="ru-RU" w:eastAsia="ru-RU" w:bidi="ar-SA"/>
        </w:rPr>
        <w:t>Анализ развития конкуренции на товарных рынках спортивных услуг</w:t>
      </w:r>
    </w:p>
    <w:p>
      <w:pPr>
        <w:pStyle w:val="Normal"/>
        <w:widowControl w:val="false"/>
        <w:shd w:val="clear" w:fill="FFFFFF"/>
        <w:tabs>
          <w:tab w:val="clear" w:pos="708"/>
          <w:tab w:val="left" w:pos="2145" w:leader="none"/>
        </w:tabs>
        <w:suppressAutoHyphens w:val="false"/>
        <w:spacing w:lineRule="auto" w:line="240" w:before="0" w:after="0"/>
        <w:ind w:firstLine="851" w:right="0"/>
        <w:jc w:val="both"/>
        <w:textAlignment w:val="auto"/>
        <w:rPr>
          <w:rFonts w:ascii="TimesNewRomanPSMT" w:hAnsi="TimesNewRomanPSMT" w:eastAsia="Calibri" w:cs="TimesNewRomanPSMT"/>
          <w:b w:val="false"/>
          <w:bCs w:val="false"/>
          <w:color w:val="auto"/>
          <w:kern w:val="0"/>
          <w:sz w:val="28"/>
          <w:szCs w:val="28"/>
          <w:lang w:val="ru-RU" w:eastAsia="en-US" w:bidi="ar-SA"/>
        </w:rPr>
      </w:pPr>
      <w:r>
        <w:rPr>
          <w:rFonts w:eastAsia="Calibri" w:cs="TimesNewRomanPSMT" w:ascii="TimesNewRomanPSMT" w:hAnsi="TimesNewRomanPSMT"/>
          <w:b w:val="false"/>
          <w:bCs w:val="false"/>
          <w:color w:val="auto"/>
          <w:kern w:val="0"/>
          <w:sz w:val="28"/>
          <w:szCs w:val="28"/>
          <w:lang w:val="ru-RU" w:eastAsia="en-US" w:bidi="ar-SA"/>
        </w:rPr>
        <w:t>По результатам опроса, большинство жителей 93 % считают, что количество организаций достаточно, 7 %, что мало, 0%, что нет совсем.</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rFonts w:ascii="TimesNewRomanPSMT" w:hAnsi="TimesNewRomanPSMT" w:eastAsia="Calibri" w:cs="TimesNewRomanPSMT"/>
          <w:b w:val="false"/>
          <w:bCs w:val="false"/>
          <w:color w:val="auto"/>
          <w:kern w:val="0"/>
          <w:sz w:val="28"/>
          <w:szCs w:val="28"/>
          <w:lang w:val="ru-RU" w:eastAsia="en-US" w:bidi="ar-SA"/>
        </w:rPr>
      </w:pPr>
      <w:r>
        <w:rPr>
          <w:rFonts w:eastAsia="Calibri" w:cs="TimesNewRomanPSMT" w:ascii="TimesNewRomanPSMT" w:hAnsi="TimesNewRomanPSMT"/>
          <w:b w:val="false"/>
          <w:bCs w:val="false"/>
          <w:color w:val="auto"/>
          <w:kern w:val="0"/>
          <w:sz w:val="28"/>
          <w:szCs w:val="28"/>
          <w:lang w:val="ru-RU" w:eastAsia="en-US" w:bidi="ar-SA"/>
        </w:rPr>
        <w:t>Большинство респондентов удовлетворены уровнем цен, качеством и доступностью услуг, оказываемых хозяйствующими субъектами на товарных рынках спортивных услуг.</w:t>
      </w:r>
    </w:p>
    <w:p>
      <w:pPr>
        <w:pStyle w:val="Normal"/>
        <w:suppressAutoHyphens w:val="false"/>
        <w:spacing w:lineRule="auto" w:line="240" w:before="0" w:after="0"/>
        <w:ind w:firstLine="851" w:right="0"/>
        <w:jc w:val="both"/>
        <w:textAlignment w:val="auto"/>
        <w:rPr>
          <w:rFonts w:ascii="TimesNewRomanPSMT" w:hAnsi="TimesNewRomanPSMT" w:eastAsia="Calibri" w:cs="TimesNewRomanPSMT"/>
          <w:b w:val="false"/>
          <w:bCs w:val="false"/>
          <w:color w:val="auto"/>
          <w:kern w:val="0"/>
          <w:sz w:val="28"/>
          <w:szCs w:val="28"/>
          <w:lang w:val="ru-RU" w:eastAsia="en-US" w:bidi="ar-SA"/>
        </w:rPr>
      </w:pPr>
      <w:r>
        <w:rPr>
          <w:rFonts w:eastAsia="Calibri" w:cs="TimesNewRomanPSMT" w:ascii="TimesNewRomanPSMT" w:hAnsi="TimesNewRomanPSMT"/>
          <w:b w:val="false"/>
          <w:bCs w:val="false"/>
          <w:color w:val="auto"/>
          <w:kern w:val="0"/>
          <w:sz w:val="28"/>
          <w:szCs w:val="28"/>
          <w:lang w:val="ru-RU" w:eastAsia="en-US" w:bidi="ar-SA"/>
        </w:rPr>
        <w:t xml:space="preserve">Большинство респондентов 86 % считают, что уровень цен на спортивные услуги повысился, однако 86 % считают, что увеличилось качество и 69 % доступность данных услуг. </w:t>
      </w:r>
    </w:p>
    <w:p>
      <w:pPr>
        <w:pStyle w:val="Normal"/>
        <w:suppressAutoHyphens w:val="false"/>
        <w:spacing w:lineRule="auto" w:line="240" w:before="0" w:after="0"/>
        <w:ind w:firstLine="709" w:right="-1"/>
        <w:contextualSpacing/>
        <w:jc w:val="both"/>
        <w:rPr/>
      </w:pPr>
      <w:r>
        <w:rPr>
          <w:rStyle w:val="Style20"/>
          <w:rFonts w:eastAsia="Calibri" w:cs="TimesNewRomanPSMT" w:ascii="TimesNewRomanPSMT" w:hAnsi="TimesNewRomanPSMT"/>
          <w:b w:val="false"/>
          <w:bCs w:val="false"/>
          <w:i w:val="false"/>
          <w:caps w:val="false"/>
          <w:smallCaps w:val="false"/>
          <w:color w:val="000000"/>
          <w:spacing w:val="0"/>
          <w:kern w:val="0"/>
          <w:sz w:val="28"/>
          <w:szCs w:val="28"/>
          <w:shd w:fill="auto" w:val="clear"/>
          <w:lang w:val="ru-RU" w:eastAsia="en-US" w:bidi="ar-SA"/>
        </w:rPr>
        <w:t xml:space="preserve">Сфера спорта представлена </w:t>
      </w:r>
      <w:r>
        <w:rPr>
          <w:rStyle w:val="Style20"/>
          <w:rFonts w:eastAsia="Calibri" w:cs="TimesNewRomanPSMT" w:ascii="TimesNewRomanPSMT" w:hAnsi="TimesNewRomanPSMT"/>
          <w:b/>
          <w:bCs/>
          <w:i w:val="false"/>
          <w:caps w:val="false"/>
          <w:smallCaps w:val="false"/>
          <w:color w:val="000000"/>
          <w:spacing w:val="0"/>
          <w:kern w:val="0"/>
          <w:sz w:val="28"/>
          <w:szCs w:val="28"/>
          <w:shd w:fill="auto" w:val="clear"/>
          <w:lang w:val="ru-RU" w:eastAsia="en-US" w:bidi="ar-SA"/>
        </w:rPr>
        <w:t>Рынком спортивных услуг</w:t>
      </w:r>
      <w:r>
        <w:rPr>
          <w:rStyle w:val="Style20"/>
          <w:rFonts w:eastAsia="Calibri" w:cs="TimesNewRomanPSMT" w:ascii="TimesNewRomanPSMT" w:hAnsi="TimesNewRomanPSMT"/>
          <w:b w:val="false"/>
          <w:bCs w:val="false"/>
          <w:i w:val="false"/>
          <w:caps w:val="false"/>
          <w:smallCaps w:val="false"/>
          <w:color w:val="000000"/>
          <w:spacing w:val="0"/>
          <w:kern w:val="0"/>
          <w:sz w:val="28"/>
          <w:szCs w:val="28"/>
          <w:shd w:fill="auto" w:val="clear"/>
          <w:lang w:val="ru-RU" w:eastAsia="en-US" w:bidi="ar-SA"/>
        </w:rPr>
        <w:t xml:space="preserve">. </w:t>
      </w:r>
      <w:r>
        <w:rPr>
          <w:rStyle w:val="1"/>
          <w:rFonts w:eastAsia="Calibri" w:cs="TimesNewRomanPSMT" w:ascii="TimesNewRomanPSMT" w:hAnsi="TimesNewRomanPSMT"/>
          <w:b w:val="false"/>
          <w:bCs w:val="false"/>
          <w:color w:val="auto"/>
          <w:kern w:val="0"/>
          <w:sz w:val="28"/>
          <w:szCs w:val="28"/>
          <w:lang w:val="ru-RU" w:eastAsia="en-US" w:bidi="ar-SA"/>
        </w:rPr>
        <w:t>Приоритетными направлениями в сфере физической культуры и спорта в муниципальном образовании Кореновский район являются: формирование здорового образа жизни кореновцев, создание условий для повсеместного развития физической культуры и занятий массовым спортом, гармоничное воспитание здорового, физически крепкого поколения.</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 На территории муниципального образования Кореновский район расположены 4 учреждения спортивной направленности, осуществляющие программы спортивной подготовки. На рынке услуг в сфере физической культуры и спорта осуществляют деятельность 4 субъекта малого и среднего предпринимательства, в том числе 4 юридических лица.</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Доля населения, систематически занимающегося физической культурой и спортом, составляет порядка 62,2 процентов от численности населения Кореновского района в возрасте от 3 до 79 лет. По состоянию на 01.01.2025 спортивная инфраструктура района включает 188 спортивных сооружений, в их числе: воздухоопорный спортивный комплекс, ледовый дворец, 4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в сельской местности; более 100 спортивных площадок (игровые, воркаут, с уличными тренажерами, комплексы ОФП).</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Уровень обеспеченности населения спортивными сооружениями составляет более 60 процентов. В муниципальном образовании Кореновский район культивируется более 55 видов спорта.</w:t>
      </w:r>
    </w:p>
    <w:p>
      <w:pPr>
        <w:pStyle w:val="Normal"/>
        <w:suppressAutoHyphens w:val="false"/>
        <w:spacing w:lineRule="auto" w:line="240" w:before="0" w:after="0"/>
        <w:jc w:val="both"/>
        <w:rPr/>
      </w:pPr>
      <w:r>
        <w:rPr>
          <w:rFonts w:eastAsia="Calibri" w:cs="TimesNewRomanPSMT" w:ascii="TimesNewRomanPSMT" w:hAnsi="TimesNewRomanPSMT"/>
          <w:b w:val="false"/>
          <w:bCs w:val="false"/>
          <w:color w:val="auto"/>
          <w:kern w:val="0"/>
          <w:sz w:val="28"/>
          <w:szCs w:val="28"/>
          <w:lang w:val="ru-RU" w:eastAsia="en-US" w:bidi="ar-SA"/>
        </w:rPr>
        <w:tab/>
      </w:r>
      <w:r>
        <w:rPr>
          <w:rFonts w:eastAsia="Calibri" w:cs="Times New Roman" w:ascii="Times New Roman" w:hAnsi="Times New Roman"/>
          <w:bCs/>
          <w:kern w:val="0"/>
          <w:sz w:val="28"/>
          <w:szCs w:val="28"/>
          <w:lang w:eastAsia="en-US"/>
        </w:rPr>
        <w:t>С точки зрения развития конкуренции рынок является развивающимся.</w:t>
      </w:r>
    </w:p>
    <w:p>
      <w:pPr>
        <w:pStyle w:val="Normal"/>
        <w:spacing w:lineRule="auto" w:line="240" w:before="0" w:after="0"/>
        <w:ind w:firstLine="708" w:right="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Факторы, ограничивающие конкуренцию на рынке:</w:t>
      </w:r>
    </w:p>
    <w:p>
      <w:pPr>
        <w:pStyle w:val="Normal"/>
        <w:widowControl w:val="false"/>
        <w:shd w:val="clear" w:fill="FFFFFF"/>
        <w:tabs>
          <w:tab w:val="clear" w:pos="708"/>
          <w:tab w:val="left" w:pos="2145" w:leader="none"/>
        </w:tabs>
        <w:suppressAutoHyphens w:val="false"/>
        <w:spacing w:lineRule="auto" w:line="240" w:before="0" w:after="0"/>
        <w:ind w:firstLine="708" w:right="0"/>
        <w:jc w:val="both"/>
        <w:textAlignment w:val="auto"/>
        <w:rPr/>
      </w:pPr>
      <w:r>
        <w:rPr>
          <w:rStyle w:val="1"/>
          <w:rFonts w:eastAsia="Calibri" w:cs="TimesNewRomanPSMT" w:ascii="TimesNewRomanPSMT" w:hAnsi="TimesNewRomanPSMT"/>
          <w:b w:val="false"/>
          <w:bCs w:val="false"/>
          <w:color w:val="auto"/>
          <w:kern w:val="0"/>
          <w:sz w:val="28"/>
          <w:szCs w:val="28"/>
          <w:lang w:val="ru-RU" w:eastAsia="en-US" w:bidi="ar-SA"/>
        </w:rPr>
        <w:t>- многие виды услуг в сфере физической культуры и спорта лишены коммерческого потенциала, носят социально значимый и общественно полезный характер, тогда как издержки производства объективно превышают цены на предоставляемые услуги. Данная проблема еще более усугубляется по мере удаления от центра муниципалитета, что обусловлено не только большей затратностью, но и более низким уровнем доходов населения.</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41"/>
        <w:jc w:val="both"/>
        <w:rPr/>
      </w:pPr>
      <w:r>
        <w:rPr>
          <w:rStyle w:val="Style20"/>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1.2. Мониторинг удовлетворенности потребителей качеством товаров, работ и услуг на товарных рынках района и состоянии ценовой конкуренции.</w:t>
      </w:r>
    </w:p>
    <w:p>
      <w:pPr>
        <w:pStyle w:val="Normal"/>
        <w:suppressAutoHyphens w:val="false"/>
        <w:spacing w:lineRule="auto" w:line="240" w:before="0" w:after="0"/>
        <w:jc w:val="both"/>
        <w:rPr/>
      </w:pPr>
      <w:r>
        <w:rPr>
          <w:rFonts w:cs="Times New Roman" w:ascii="Times New Roman" w:hAnsi="Times New Roman"/>
          <w:b/>
          <w:bCs/>
          <w:sz w:val="28"/>
        </w:rPr>
        <w:tab/>
      </w:r>
      <w:r>
        <w:rPr>
          <w:rStyle w:val="1"/>
          <w:rFonts w:eastAsia="Calibri" w:cs="TimesNewRomanPSMT" w:ascii="TimesNewRomanPSMT" w:hAnsi="TimesNewRomanPSMT"/>
          <w:b w:val="false"/>
          <w:bCs w:val="false"/>
          <w:color w:val="auto"/>
          <w:kern w:val="0"/>
          <w:sz w:val="28"/>
          <w:szCs w:val="28"/>
          <w:lang w:val="ru-RU" w:eastAsia="en-US" w:bidi="ar-SA"/>
        </w:rPr>
        <w:t xml:space="preserve">Удовлетворенность потребителей – это ощущение, испытываемое потребителем после покупки и использования товара/услуги, который соответствует его ожиданиям или даже превосходит их. Удовлетворенность потребителя наступает в большинстве случаев при покупке качественного товара по доступной цене. </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auto"/>
          <w:kern w:val="0"/>
          <w:sz w:val="28"/>
          <w:szCs w:val="28"/>
          <w:lang w:val="ru-RU" w:eastAsia="en-US" w:bidi="ar-SA"/>
        </w:rPr>
        <w:tab/>
        <w:t xml:space="preserve">При проведении опроса в ходе проведения мониторинга состояния конкуренции на товарных рынках Кореновского района респонденты ответили на вопрос: </w:t>
      </w:r>
      <w:r>
        <w:rPr>
          <w:rStyle w:val="1"/>
          <w:rFonts w:eastAsia="Calibri" w:cs="TimesNewRomanPSMT" w:ascii="TimesNewRomanPSMT" w:hAnsi="TimesNewRomanPSMT"/>
          <w:b/>
          <w:bCs/>
          <w:color w:val="auto"/>
          <w:kern w:val="0"/>
          <w:sz w:val="28"/>
          <w:szCs w:val="28"/>
          <w:lang w:val="ru-RU" w:eastAsia="en-US" w:bidi="ar-SA"/>
        </w:rPr>
        <w:t>«Как по Вашему мнению изменился уровень цен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b w:val="false"/>
          <w:bCs w:val="false"/>
          <w:color w:val="auto"/>
          <w:kern w:val="0"/>
          <w:sz w:val="28"/>
          <w:szCs w:val="28"/>
          <w:lang w:val="ru-RU" w:eastAsia="en-US" w:bidi="ar-SA"/>
        </w:rPr>
        <w:t>, о</w:t>
      </w: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тветы распределились следующим образом: </w:t>
      </w:r>
    </w:p>
    <w:tbl>
      <w:tblPr>
        <w:tblW w:w="9631" w:type="dxa"/>
        <w:jc w:val="left"/>
        <w:tblInd w:w="-5" w:type="dxa"/>
        <w:tblLayout w:type="fixed"/>
        <w:tblCellMar>
          <w:top w:w="55" w:type="dxa"/>
          <w:left w:w="55" w:type="dxa"/>
          <w:bottom w:w="55" w:type="dxa"/>
          <w:right w:w="55" w:type="dxa"/>
        </w:tblCellMar>
      </w:tblPr>
      <w:tblGrid>
        <w:gridCol w:w="3165"/>
        <w:gridCol w:w="1761"/>
        <w:gridCol w:w="1703"/>
        <w:gridCol w:w="1536"/>
        <w:gridCol w:w="1466"/>
      </w:tblGrid>
      <w:tr>
        <w:trPr/>
        <w:tc>
          <w:tcPr>
            <w:tcW w:w="3165" w:type="dxa"/>
            <w:tcBorders>
              <w:top w:val="single" w:sz="4" w:space="0" w:color="000000"/>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Наименование рынка</w:t>
            </w:r>
          </w:p>
        </w:tc>
        <w:tc>
          <w:tcPr>
            <w:tcW w:w="1761"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Увеличился</w:t>
            </w:r>
          </w:p>
        </w:tc>
        <w:tc>
          <w:tcPr>
            <w:tcW w:w="1703"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Снизился</w:t>
            </w:r>
          </w:p>
        </w:tc>
        <w:tc>
          <w:tcPr>
            <w:tcW w:w="1536"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Затрудняюсь ответить</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Сфера образования</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82</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5,1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10,2</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Социальная сфера</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81,7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10,8</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Зддравоохранение</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ЖКХ</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8,6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Транспортный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84,7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9,5</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Информационные технологии</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81,8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12,5</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Строительство</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83,8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3,5</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Агропромышленный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pPr>
            <w:r>
              <w:rPr>
                <w:rFonts w:cs="Times New Roman" w:ascii="Times New Roman" w:hAnsi="Times New Roman"/>
                <w:sz w:val="20"/>
                <w:szCs w:val="20"/>
              </w:rPr>
              <w:t>8</w:t>
            </w:r>
            <w:r>
              <w:rPr>
                <w:rFonts w:eastAsia="SimSun" w:cs="Times New Roman" w:ascii="Times New Roman" w:hAnsi="Times New Roman"/>
                <w:color w:val="auto"/>
                <w:kern w:val="2"/>
                <w:sz w:val="20"/>
                <w:szCs w:val="20"/>
                <w:lang w:val="ru-RU" w:eastAsia="ar-SA" w:bidi="ar-SA"/>
              </w:rPr>
              <w:t>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11,4</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Промышленность и добыча полезных ископаемых</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78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16,4</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Торговля и услуги населению</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85,0</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9,6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Санаторно-курортный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79,5</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15,2</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Спорт</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80,6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13,2</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pPr>
      <w:r>
        <w:rPr>
          <w:rFonts w:cs="Times New Roman" w:ascii="Times New Roman" w:hAnsi="Times New Roman"/>
          <w:sz w:val="26"/>
          <w:szCs w:val="26"/>
        </w:rPr>
        <w:tab/>
      </w: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На вопрос: </w:t>
      </w:r>
      <w:r>
        <w:rPr>
          <w:rStyle w:val="1"/>
          <w:rFonts w:eastAsia="Calibri" w:cs="TimesNewRomanPSMT" w:ascii="TimesNewRomanPSMT" w:hAnsi="TimesNewRomanPSMT"/>
          <w:b/>
          <w:bCs/>
          <w:color w:val="000000"/>
          <w:kern w:val="0"/>
          <w:sz w:val="28"/>
          <w:szCs w:val="28"/>
          <w:shd w:fill="FFFFFF" w:val="clear"/>
          <w:lang w:val="ru-RU" w:eastAsia="en-US" w:bidi="ar-SA"/>
        </w:rPr>
        <w:t>«Как по Вашему мнению изменился уровень качества товаров и услуг на товарном рынке в Кореновском районе в течение последних 3 лет по следующим критериям?»</w:t>
      </w: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 ответы распределились следующим образом: </w:t>
      </w:r>
    </w:p>
    <w:p>
      <w:pPr>
        <w:pStyle w:val="Normal"/>
        <w:suppressAutoHyphens w:val="false"/>
        <w:spacing w:lineRule="auto" w:line="240" w:before="0" w:after="0"/>
        <w:jc w:val="both"/>
        <w:rPr>
          <w:rFonts w:ascii="TimesNewRomanPSMT" w:hAnsi="TimesNewRomanPSMT" w:eastAsia="Calibri" w:cs="TimesNewRomanPSMT"/>
          <w:b w:val="false"/>
          <w:bCs w:val="false"/>
          <w:color w:val="000000"/>
          <w:kern w:val="0"/>
          <w:sz w:val="28"/>
          <w:szCs w:val="28"/>
          <w:shd w:fill="FFFFFF" w:val="clear"/>
          <w:lang w:val="ru-RU" w:eastAsia="en-US" w:bidi="ar-SA"/>
        </w:rPr>
      </w:pPr>
      <w:r>
        <w:rPr>
          <w:rFonts w:eastAsia="Calibri" w:cs="TimesNewRomanPSMT" w:ascii="TimesNewRomanPSMT" w:hAnsi="TimesNewRomanPSMT"/>
          <w:b w:val="false"/>
          <w:bCs w:val="false"/>
          <w:color w:val="000000"/>
          <w:kern w:val="0"/>
          <w:sz w:val="28"/>
          <w:szCs w:val="28"/>
          <w:shd w:fill="FFFFFF" w:val="clear"/>
          <w:lang w:val="ru-RU" w:eastAsia="en-US" w:bidi="ar-SA"/>
        </w:rPr>
      </w:r>
    </w:p>
    <w:tbl>
      <w:tblPr>
        <w:tblW w:w="9631" w:type="dxa"/>
        <w:jc w:val="left"/>
        <w:tblInd w:w="-5" w:type="dxa"/>
        <w:tblLayout w:type="fixed"/>
        <w:tblCellMar>
          <w:top w:w="55" w:type="dxa"/>
          <w:left w:w="55" w:type="dxa"/>
          <w:bottom w:w="55" w:type="dxa"/>
          <w:right w:w="55" w:type="dxa"/>
        </w:tblCellMar>
      </w:tblPr>
      <w:tblGrid>
        <w:gridCol w:w="3165"/>
        <w:gridCol w:w="1761"/>
        <w:gridCol w:w="1703"/>
        <w:gridCol w:w="1536"/>
        <w:gridCol w:w="1466"/>
      </w:tblGrid>
      <w:tr>
        <w:trPr/>
        <w:tc>
          <w:tcPr>
            <w:tcW w:w="3165" w:type="dxa"/>
            <w:tcBorders>
              <w:top w:val="single" w:sz="4" w:space="0" w:color="000000"/>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Наименование рынка</w:t>
            </w:r>
          </w:p>
        </w:tc>
        <w:tc>
          <w:tcPr>
            <w:tcW w:w="1761"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Повысился</w:t>
            </w:r>
          </w:p>
        </w:tc>
        <w:tc>
          <w:tcPr>
            <w:tcW w:w="1703"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Снизился</w:t>
            </w:r>
          </w:p>
        </w:tc>
        <w:tc>
          <w:tcPr>
            <w:tcW w:w="1536"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Затрудняюсь ответить</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Сфера образования</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44,5</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15,7</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20,8</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Социальная сфера</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42,9</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15,5</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Зддравоохранение</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42,5</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18,5</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ЖКХ</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Транспортный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15,2</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30</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20,8</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Информационные технологии</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43,8</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18,8</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23,3</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Строительство</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44,2</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23,3</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Агропромышленный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13,2</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22,8</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Промышленность и добыча полезных ископаемых</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26,7</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Торговля и услуги населению</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44,7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14,8</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19,5</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30</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Санаторно-курортный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43,3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26,3</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Спорт</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45,2</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13,8</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22,6</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p>
      <w:pPr>
        <w:pStyle w:val="Normal"/>
        <w:suppressAutoHyphens w:val="false"/>
        <w:spacing w:lineRule="auto" w:line="240" w:before="0" w:after="0"/>
        <w:jc w:val="both"/>
        <w:rPr/>
      </w:pPr>
      <w:r>
        <w:rPr>
          <w:rFonts w:cs="Times New Roman" w:ascii="Times New Roman" w:hAnsi="Times New Roman"/>
          <w:sz w:val="26"/>
          <w:szCs w:val="26"/>
        </w:rPr>
        <w:tab/>
        <w:t>На вопрос: «</w:t>
      </w:r>
      <w:r>
        <w:rPr>
          <w:rFonts w:eastAsia="SimSun" w:cs="Times New Roman" w:ascii="Times New Roman" w:hAnsi="Times New Roman"/>
          <w:b/>
          <w:bCs/>
          <w:color w:val="auto"/>
          <w:kern w:val="2"/>
          <w:sz w:val="26"/>
          <w:szCs w:val="26"/>
          <w:lang w:val="ru-RU" w:eastAsia="ar-SA" w:bidi="ar-SA"/>
        </w:rPr>
        <w:t>Как по Вашему мнению изменился уровень доступности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rFonts w:eastAsia="Times New Roman" w:cs="Times New Roman" w:ascii="Times New Roman" w:hAnsi="Times New Roman"/>
          <w:color w:val="000000"/>
          <w:shd w:fill="FFFFFF" w:val="clear"/>
          <w:lang w:eastAsia="ru-RU"/>
        </w:rPr>
      </w:r>
    </w:p>
    <w:tbl>
      <w:tblPr>
        <w:tblW w:w="9631" w:type="dxa"/>
        <w:jc w:val="left"/>
        <w:tblInd w:w="-5" w:type="dxa"/>
        <w:tblLayout w:type="fixed"/>
        <w:tblCellMar>
          <w:top w:w="55" w:type="dxa"/>
          <w:left w:w="55" w:type="dxa"/>
          <w:bottom w:w="55" w:type="dxa"/>
          <w:right w:w="55" w:type="dxa"/>
        </w:tblCellMar>
      </w:tblPr>
      <w:tblGrid>
        <w:gridCol w:w="3165"/>
        <w:gridCol w:w="1761"/>
        <w:gridCol w:w="1703"/>
        <w:gridCol w:w="1536"/>
        <w:gridCol w:w="1466"/>
      </w:tblGrid>
      <w:tr>
        <w:trPr/>
        <w:tc>
          <w:tcPr>
            <w:tcW w:w="3165" w:type="dxa"/>
            <w:tcBorders>
              <w:top w:val="single" w:sz="4" w:space="0" w:color="000000"/>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Наименование рынка</w:t>
            </w:r>
          </w:p>
        </w:tc>
        <w:tc>
          <w:tcPr>
            <w:tcW w:w="1761"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Повысился</w:t>
            </w:r>
          </w:p>
        </w:tc>
        <w:tc>
          <w:tcPr>
            <w:tcW w:w="1703"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Снизился</w:t>
            </w:r>
          </w:p>
        </w:tc>
        <w:tc>
          <w:tcPr>
            <w:tcW w:w="1536" w:type="dxa"/>
            <w:tcBorders>
              <w:top w:val="single" w:sz="4" w:space="0" w:color="000000"/>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Затрудняюсь ответить</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Сфера образования</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45,1</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Социальная сфера</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44,6</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21,1</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Зддравоохранение</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16,9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19,8</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ЖКХ</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20,6</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Транспортный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13,8</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21,1</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21,7</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Информационные технологии</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23,7</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Строительство</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24</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Агропромышленный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13,1</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23,2</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Промышленность и добыча полезных ископаемых</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43</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12,2</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17,6</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27,2</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Торговля и услуги населению</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45,1</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13,4</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21,8</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Санаторно-курортный комплекс</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42,7</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12,3</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18,3</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26,7</w:t>
            </w:r>
          </w:p>
        </w:tc>
      </w:tr>
      <w:tr>
        <w:trPr/>
        <w:tc>
          <w:tcPr>
            <w:tcW w:w="3165" w:type="dxa"/>
            <w:tcBorders>
              <w:left w:val="single" w:sz="4" w:space="0" w:color="000000"/>
              <w:bottom w:val="single" w:sz="4" w:space="0" w:color="000000"/>
            </w:tcBorders>
          </w:tcPr>
          <w:p>
            <w:pPr>
              <w:pStyle w:val="Style24"/>
              <w:widowControl w:val="false"/>
              <w:spacing w:before="0" w:after="160"/>
              <w:rPr>
                <w:rFonts w:ascii="Times New Roman" w:hAnsi="Times New Roman" w:cs="Times New Roman"/>
                <w:sz w:val="20"/>
                <w:szCs w:val="20"/>
              </w:rPr>
            </w:pPr>
            <w:r>
              <w:rPr>
                <w:rFonts w:cs="Times New Roman" w:ascii="Times New Roman" w:hAnsi="Times New Roman"/>
                <w:sz w:val="20"/>
                <w:szCs w:val="20"/>
              </w:rPr>
              <w:t>Спорт</w:t>
            </w:r>
          </w:p>
        </w:tc>
        <w:tc>
          <w:tcPr>
            <w:tcW w:w="1761" w:type="dxa"/>
            <w:tcBorders>
              <w:left w:val="single" w:sz="4" w:space="0" w:color="000000"/>
              <w:bottom w:val="single" w:sz="4" w:space="0" w:color="000000"/>
            </w:tcBorders>
          </w:tcPr>
          <w:p>
            <w:pPr>
              <w:pStyle w:val="Style24"/>
              <w:widowControl w:val="false"/>
              <w:spacing w:before="0" w:after="160"/>
              <w:jc w:val="center"/>
              <w:rPr>
                <w:rFonts w:ascii="Times New Roman" w:hAnsi="Times New Roman" w:eastAsia="SimSun" w:cs="Times New Roman"/>
                <w:color w:val="auto"/>
                <w:kern w:val="2"/>
                <w:sz w:val="20"/>
                <w:szCs w:val="20"/>
                <w:lang w:val="ru-RU" w:eastAsia="ar-SA" w:bidi="ar-SA"/>
              </w:rPr>
            </w:pPr>
            <w:r>
              <w:rPr>
                <w:rFonts w:eastAsia="SimSun" w:cs="Times New Roman" w:ascii="Times New Roman" w:hAnsi="Times New Roman"/>
                <w:color w:val="auto"/>
                <w:kern w:val="2"/>
                <w:sz w:val="20"/>
                <w:szCs w:val="20"/>
                <w:lang w:val="ru-RU" w:eastAsia="ar-SA" w:bidi="ar-SA"/>
              </w:rPr>
              <w:t>44,4</w:t>
            </w:r>
          </w:p>
        </w:tc>
        <w:tc>
          <w:tcPr>
            <w:tcW w:w="1703"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12,9</w:t>
            </w:r>
          </w:p>
        </w:tc>
        <w:tc>
          <w:tcPr>
            <w:tcW w:w="1536" w:type="dxa"/>
            <w:tcBorders>
              <w:left w:val="single" w:sz="4" w:space="0" w:color="000000"/>
              <w:bottom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24"/>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23,7</w:t>
            </w:r>
          </w:p>
        </w:tc>
      </w:tr>
    </w:tbl>
    <w:p>
      <w:pPr>
        <w:pStyle w:val="Normal"/>
        <w:suppressAutoHyphens w:val="false"/>
        <w:spacing w:lineRule="auto" w:line="240" w:before="0" w:after="0"/>
        <w:jc w:val="both"/>
        <w:rPr>
          <w:rFonts w:ascii="Times New Roman" w:hAnsi="Times New Roman" w:eastAsia="Times New Roman" w:cs="Times New Roman"/>
          <w:color w:val="000000"/>
          <w:kern w:val="2"/>
          <w:shd w:fill="FFFFFF" w:val="clear"/>
          <w:lang w:val="ru-RU" w:eastAsia="ru-RU" w:bidi="hi-IN"/>
        </w:rPr>
      </w:pPr>
      <w:r>
        <w:rPr>
          <w:rFonts w:eastAsia="Times New Roman" w:cs="Times New Roman" w:ascii="Times New Roman" w:hAnsi="Times New Roman"/>
          <w:color w:val="000000"/>
          <w:kern w:val="2"/>
          <w:shd w:fill="FFFFFF" w:val="clear"/>
          <w:lang w:val="ru-RU" w:eastAsia="ru-RU" w:bidi="hi-IN"/>
        </w:rPr>
      </w:r>
    </w:p>
    <w:p>
      <w:pPr>
        <w:pStyle w:val="Normal"/>
        <w:suppressAutoHyphens w:val="false"/>
        <w:spacing w:lineRule="auto" w:line="240" w:before="0" w:after="0"/>
        <w:jc w:val="both"/>
        <w:rPr/>
      </w:pPr>
      <w:r>
        <w:rPr>
          <w:rFonts w:cs="Times New Roman" w:ascii="Times New Roman" w:hAnsi="Times New Roman"/>
          <w:sz w:val="28"/>
        </w:rPr>
        <w:tab/>
      </w:r>
      <w:r>
        <w:rPr>
          <w:rStyle w:val="1"/>
          <w:rFonts w:eastAsia="Calibri" w:cs="TimesNewRomanPSMT" w:ascii="TimesNewRomanPSMT" w:hAnsi="TimesNewRomanPSMT"/>
          <w:b w:val="false"/>
          <w:bCs w:val="false"/>
          <w:color w:val="000000"/>
          <w:kern w:val="0"/>
          <w:sz w:val="28"/>
          <w:szCs w:val="28"/>
          <w:shd w:fill="FFFFFF" w:val="clear"/>
          <w:lang w:val="ru-RU" w:eastAsia="en-US" w:bidi="ar-SA"/>
        </w:rPr>
        <w:t>Рассмотрев данные об удовлетворенности качеством товаров, работ, услуг прямых потребителей (приобретавших данный товар, работу, услугу в рассматриваемом периоде, можно сделать вывод, что в целом население района удовлетворено товарами, работами и услугами, получаемыми на товарных рынках Краснодарского края и Кореновского района.</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ab/>
        <w:t xml:space="preserve">Что касается наличия жалоб в надзорные органы по данной проблематике: </w:t>
      </w:r>
      <w:r>
        <w:rPr>
          <w:rStyle w:val="1"/>
          <w:rFonts w:eastAsia="Calibri" w:cs="TimesNewRomanPSMT" w:ascii="TimesNewRomanPSMT" w:hAnsi="TimesNewRomanPSMT"/>
          <w:b w:val="false"/>
          <w:bCs w:val="false"/>
          <w:i w:val="false"/>
          <w:caps w:val="false"/>
          <w:smallCaps w:val="false"/>
          <w:color w:val="000000"/>
          <w:spacing w:val="0"/>
          <w:kern w:val="0"/>
          <w:sz w:val="28"/>
          <w:szCs w:val="28"/>
          <w:shd w:fill="FFFFFF" w:val="clear"/>
          <w:lang w:val="ru-RU" w:eastAsia="en-US" w:bidi="ar-SA"/>
        </w:rPr>
        <w:t>Территориальным отделом управления Роспотребнадзора по Краснодарскому краю в Выселковском, Усть-Лабинском, Кореновском и Динском районах проверок в отношении хозяйствующих субъектов, осуществляющих производство и оборот товаров легкой промышленности на территории Кореновского района территориальным отделом не проводились.</w:t>
      </w:r>
    </w:p>
    <w:p>
      <w:pPr>
        <w:pStyle w:val="Normal"/>
        <w:suppressAutoHyphens w:val="false"/>
        <w:spacing w:lineRule="auto" w:line="240" w:before="0" w:after="0"/>
        <w:ind w:firstLine="709" w:right="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Членами комиссии в целях выявления и пресечения фактов изготовления и оборота контрафактной, фальсифицированной и незаконно ввезенной на территорию Российской Федерации продукции, на территории Кореновского района в 2024 году проводились  оперативно-профилактические мероприятия, нарушений не выявлено.</w:t>
      </w:r>
    </w:p>
    <w:p>
      <w:pPr>
        <w:pStyle w:val="Normal"/>
        <w:suppressAutoHyphens w:val="false"/>
        <w:spacing w:lineRule="auto" w:line="240" w:before="0" w:after="0"/>
        <w:ind w:firstLine="709" w:right="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 xml:space="preserve">Проводились мероприятия совместно с отделом МВД Кореновского района в 2024 году. </w:t>
      </w:r>
      <w:r>
        <w:rPr>
          <w:rStyle w:val="1"/>
          <w:rFonts w:eastAsia="Calibri" w:cs="TimesNewRomanPSMT" w:ascii="TimesNewRomanPSMT" w:hAnsi="TimesNewRomanPSMT"/>
          <w:b w:val="false"/>
          <w:bCs w:val="false"/>
          <w:i w:val="false"/>
          <w:caps w:val="false"/>
          <w:smallCaps w:val="false"/>
          <w:color w:val="000000"/>
          <w:spacing w:val="0"/>
          <w:kern w:val="0"/>
          <w:sz w:val="28"/>
          <w:szCs w:val="28"/>
          <w:shd w:fill="FFFFFF" w:val="clear"/>
          <w:lang w:val="ru-RU" w:eastAsia="en-US" w:bidi="ar-SA"/>
        </w:rPr>
        <w:t>Выявлены следующие нарушения по отраслям: составлено 2 протокола об административной ответственности в части несанкционированной торговли пиротехникой; алкогольная продукция — 13 правонарушений, составлено 13 протоколов об административной ответственности, изъято 1760,5 литров спиртосодержащей продукции.</w:t>
      </w:r>
    </w:p>
    <w:p>
      <w:pPr>
        <w:pStyle w:val="Normal"/>
        <w:suppressAutoHyphens w:val="false"/>
        <w:spacing w:lineRule="auto" w:line="240" w:before="0" w:after="0"/>
        <w:jc w:val="both"/>
        <w:rPr/>
      </w:pPr>
      <w:r>
        <w:rPr>
          <w:rStyle w:val="1"/>
          <w:rFonts w:eastAsia="Calibri" w:cs="TimesNewRomanPSMT" w:ascii="TimesNewRomanPSMT" w:hAnsi="TimesNewRomanPSMT"/>
          <w:b w:val="false"/>
          <w:bCs w:val="false"/>
          <w:color w:val="000000"/>
          <w:kern w:val="0"/>
          <w:sz w:val="28"/>
          <w:szCs w:val="28"/>
          <w:shd w:fill="FFFFFF" w:val="clear"/>
          <w:lang w:val="ru-RU" w:eastAsia="en-US" w:bidi="ar-SA"/>
        </w:rPr>
        <w:tab/>
        <w:t>На сайте администрации муниципального образования Кореновский район (</w:t>
      </w:r>
      <w:hyperlink r:id="rId3">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www</w:t>
        </w:r>
      </w:hyperlink>
      <w:hyperlink r:id="rId4">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w:t>
        </w:r>
      </w:hyperlink>
      <w:hyperlink r:id="rId5">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korenovsk</w:t>
        </w:r>
      </w:hyperlink>
      <w:hyperlink r:id="rId6">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w:t>
        </w:r>
      </w:hyperlink>
      <w:hyperlink r:id="rId7">
        <w:r>
          <w:rPr>
            <w:rStyle w:val="Hyperlink"/>
            <w:rFonts w:eastAsia="Calibri" w:cs="TimesNewRomanPSMT" w:ascii="TimesNewRomanPSMT" w:hAnsi="TimesNewRomanPSMT"/>
            <w:b w:val="false"/>
            <w:bCs w:val="false"/>
            <w:color w:val="000000"/>
            <w:kern w:val="0"/>
            <w:sz w:val="28"/>
            <w:szCs w:val="28"/>
            <w:shd w:fill="FFFFFF" w:val="clear"/>
            <w:lang w:val="ru-RU" w:eastAsia="en-US" w:bidi="ar-SA"/>
          </w:rPr>
          <w:t>ru</w:t>
        </w:r>
      </w:hyperlink>
      <w:r>
        <w:rPr>
          <w:rStyle w:val="1"/>
          <w:rFonts w:eastAsia="Calibri" w:cs="TimesNewRomanPSMT" w:ascii="TimesNewRomanPSMT" w:hAnsi="TimesNewRomanPSMT"/>
          <w:b w:val="false"/>
          <w:bCs w:val="false"/>
          <w:color w:val="000000"/>
          <w:kern w:val="0"/>
          <w:sz w:val="28"/>
          <w:szCs w:val="28"/>
          <w:shd w:fill="FFFFFF" w:val="clear"/>
          <w:lang w:val="ru-RU" w:eastAsia="en-US" w:bidi="ar-SA"/>
        </w:rPr>
        <w:t>) размещается информация о фальсифицированной продукции, размещен телефон «горячей линии».</w:t>
      </w:r>
    </w:p>
    <w:p>
      <w:pPr>
        <w:pStyle w:val="Normal"/>
        <w:suppressAutoHyphens w:val="true"/>
        <w:spacing w:lineRule="auto" w:line="240" w:before="0" w:after="0"/>
        <w:jc w:val="both"/>
        <w:rPr/>
      </w:pPr>
      <w:r>
        <w:rPr>
          <w:rFonts w:cs="Times New Roman" w:ascii="Times New Roman" w:hAnsi="Times New Roman"/>
          <w:sz w:val="26"/>
          <w:szCs w:val="26"/>
        </w:rPr>
        <w:tab/>
      </w:r>
      <w:r>
        <w:rPr>
          <w:rStyle w:val="1"/>
          <w:rFonts w:eastAsia="Calibri" w:cs="TimesNewRomanPSMT"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en-US" w:bidi="ar-SA"/>
        </w:rPr>
        <w:t xml:space="preserve">Администрация муниципального образования Кореновский район активно взаимодействует с жителями района через социальные сети, мобильную связь, и, конечно же, общественную приемную, решаются повседневные, тревожащие каждого вопросы. </w:t>
      </w:r>
    </w:p>
    <w:p>
      <w:pPr>
        <w:pStyle w:val="Normal"/>
        <w:suppressAutoHyphens w:val="tru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За 2024 год в администрацию  муниципального образования Кореновский район (с учетом поселений)</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поступило письменных обращений — 1969</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рассмотрено - 2001  письменное обращения граждан, из них: </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поддержано - 422 (21.1%), </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меры приняты - 247 (12.3%), </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разъяснено - 1423 (71.1%).</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Для исключения случаев формального рассмотрения обращений граждан  большое количество обращений рассматривается комиссионно с выездом на место, с участием заявителей -  1132 (56.6%).</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Посредством федеральной государственной информационной системы «Единый портал государственных и муниципальных услуг» (ПОС) поступило 98 обращений.</w:t>
      </w:r>
    </w:p>
    <w:p>
      <w:pPr>
        <w:pStyle w:val="Normal"/>
        <w:shd w:val="clear" w:fill="FFFFFF"/>
        <w:spacing w:lineRule="atLeast" w:line="2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С «Прямой линии» Президента РФ В.В.Путина поступило — 751 сообщение.</w:t>
      </w:r>
    </w:p>
    <w:p>
      <w:pPr>
        <w:pStyle w:val="Normal"/>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По телефону  «Прямой линии» поступило  — 180 звонков.</w:t>
      </w:r>
    </w:p>
    <w:p>
      <w:pPr>
        <w:pStyle w:val="Normal"/>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Согласно утвержденного Порядка каждый четверг в 8.30 в Общественной приемной главой района или его заместителями проводятся личные приемы граждан. </w:t>
      </w:r>
    </w:p>
    <w:p>
      <w:pPr>
        <w:pStyle w:val="Normal"/>
        <w:snapToGrid w:val="false"/>
        <w:spacing w:lineRule="atLeast" w:line="1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За 2024 год на личных приемах руководством (замы) принято 390 человек, </w:t>
      </w:r>
    </w:p>
    <w:p>
      <w:pPr>
        <w:pStyle w:val="Normal"/>
        <w:snapToGrid w:val="false"/>
        <w:spacing w:lineRule="atLeast" w:line="1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из них главой района - 77. </w:t>
      </w:r>
    </w:p>
    <w:p>
      <w:pPr>
        <w:pStyle w:val="Normal"/>
        <w:snapToGrid w:val="false"/>
        <w:spacing w:lineRule="atLeast" w:line="10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главами поселений принято — 514 человек.</w:t>
      </w:r>
    </w:p>
    <w:p>
      <w:pPr>
        <w:pStyle w:val="Normal"/>
        <w:shd w:val="clear" w:fill="FFFFFF"/>
        <w:spacing w:lineRule="atLeast" w:line="200" w:before="0" w:after="0"/>
        <w:ind w:right="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На Прямую линию Губернатора поступило — 263 сообщения, из них</w:t>
      </w:r>
    </w:p>
    <w:p>
      <w:pPr>
        <w:pStyle w:val="Normal"/>
        <w:shd w:val="clear" w:fill="FFFFFF"/>
        <w:spacing w:lineRule="atLeast" w:line="200" w:before="0" w:after="0"/>
        <w:ind w:right="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Земля СВО — 129</w:t>
      </w:r>
    </w:p>
    <w:p>
      <w:pPr>
        <w:pStyle w:val="Normal"/>
        <w:suppressAutoHyphens w:val="tru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Земля многодетным - 57</w:t>
      </w:r>
    </w:p>
    <w:p>
      <w:pPr>
        <w:pStyle w:val="Normal"/>
        <w:snapToGrid w:val="false"/>
        <w:spacing w:lineRule="atLeast" w:line="100" w:before="0" w:after="0"/>
        <w:ind w:right="0"/>
        <w:jc w:val="both"/>
        <w:rPr/>
      </w:pPr>
      <w:r>
        <w:rPr>
          <w:rStyle w:val="1"/>
          <w:rFonts w:eastAsia="Calibri" w:cs="TimesNewRomanPSMT" w:ascii="TimesNewRomanPSMT" w:hAnsi="TimesNewRomanPSMT"/>
          <w:b w:val="false"/>
          <w:bCs w:val="false"/>
          <w:i w:val="false"/>
          <w:iCs/>
          <w:caps w:val="false"/>
          <w:smallCaps w:val="false"/>
          <w:strike w:val="false"/>
          <w:dstrike w:val="false"/>
          <w:outline w:val="false"/>
          <w:color w:val="000000"/>
          <w:spacing w:val="0"/>
          <w:w w:val="100"/>
          <w:kern w:val="0"/>
          <w:position w:val="0"/>
          <w:sz w:val="28"/>
          <w:sz w:val="28"/>
          <w:szCs w:val="28"/>
          <w:u w:val="none"/>
          <w:shd w:fill="FFFFFF" w:val="clear"/>
          <w:vertAlign w:val="baseline"/>
          <w:em w:val="none"/>
          <w:lang w:val="ru-RU" w:eastAsia="zxx" w:bidi="ar-SA"/>
        </w:rPr>
        <w:tab/>
        <w:t>Информация  о приема</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х</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граждан</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главой</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района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освещается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газете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«Кореновские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вести»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на страницах главы района в социальных сетях,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размещается</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на</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официальном</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сайте</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r>
        <w:rPr>
          <w:rFonts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администрации.</w:t>
      </w:r>
      <w:r>
        <w:rPr>
          <w:rFonts w:eastAsia="Times New Roman" w:cs="Times New Roman" w:ascii="Times New Roman" w:hAnsi="Times New Roman"/>
          <w:b w:val="false"/>
          <w:bCs w:val="false"/>
          <w:i w:val="false"/>
          <w:iCs w:val="false"/>
          <w:color w:val="auto"/>
          <w:spacing w:val="0"/>
          <w:w w:val="100"/>
          <w:position w:val="0"/>
          <w:sz w:val="28"/>
          <w:sz w:val="28"/>
          <w:szCs w:val="28"/>
          <w:vertAlign w:val="baseline"/>
          <w:lang w:val="ru-RU" w:eastAsia="zxx" w:bidi="ar-SA"/>
        </w:rPr>
        <w:t xml:space="preserve"> </w:t>
      </w:r>
    </w:p>
    <w:p>
      <w:pPr>
        <w:pStyle w:val="Normal"/>
        <w:suppressAutoHyphens w:val="true"/>
        <w:snapToGrid w:val="false"/>
        <w:spacing w:lineRule="auto" w:line="240" w:before="0" w:after="0"/>
        <w:jc w:val="both"/>
        <w:rPr/>
      </w:pPr>
      <w:r>
        <w:rPr>
          <w:rStyle w:val="Style20"/>
          <w:rFonts w:eastAsia="Times New Roman"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ab/>
        <w:t xml:space="preserve">С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zxx" w:bidi="ar-SA"/>
        </w:rPr>
        <w:t xml:space="preserve">целью уменьшения количества письменных обращений граждан администрациями  городского  и сельских  поселений  по наиболее  актуальным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вопросам проводятся сходы граждан с участием руководителей муниципального образования  Кореновский район.  По итогам встреч удалось решить не одну важную задачу, поставленную перед нами жителями района.</w:t>
      </w:r>
    </w:p>
    <w:p>
      <w:pPr>
        <w:pStyle w:val="Normal"/>
        <w:suppressAutoHyphens w:val="false"/>
        <w:spacing w:lineRule="auto" w:line="240" w:before="0" w:after="0"/>
        <w:ind w:right="-141"/>
        <w:jc w:val="left"/>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ab/>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8"/>
          <w:sz w:val="28"/>
          <w:szCs w:val="28"/>
          <w:u w:val="none"/>
          <w:shd w:fill="auto" w:val="clear"/>
          <w:vertAlign w:val="baseline"/>
          <w:em w:val="none"/>
          <w:lang w:val="ru-RU" w:eastAsia="en-US" w:bidi="ar-SA"/>
        </w:rPr>
        <w:t xml:space="preserve">Все обращения жителей рассмотрены, требования разъяснены. </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numPr>
          <w:ilvl w:val="0"/>
          <w:numId w:val="0"/>
        </w:numPr>
        <w:suppressAutoHyphens w:val="false"/>
        <w:spacing w:lineRule="auto" w:line="240" w:before="0" w:after="0"/>
        <w:ind w:firstLine="709" w:left="0" w:right="0"/>
        <w:contextualSpacing/>
        <w:jc w:val="both"/>
        <w:textAlignment w:val="auto"/>
        <w:rPr/>
      </w:pPr>
      <w:r>
        <w:rPr>
          <w:rFonts w:cs="Times New Roman" w:ascii="Times New Roman" w:hAnsi="Times New Roman"/>
          <w:b/>
          <w:color w:val="auto"/>
          <w:sz w:val="28"/>
          <w:szCs w:val="28"/>
          <w:lang w:val="ru-RU" w:bidi="ar-SA"/>
        </w:rPr>
        <w:t xml:space="preserve">1.3 </w:t>
      </w:r>
      <w:r>
        <w:rPr>
          <w:rFonts w:cs="Times New Roman" w:ascii="Times New Roman" w:hAnsi="Times New Roman"/>
          <w:b/>
          <w:color w:val="auto"/>
          <w:sz w:val="28"/>
          <w:szCs w:val="24"/>
          <w:lang w:val="ru-RU" w:bidi="ar-SA"/>
        </w:rPr>
        <w:t>Мониторинг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образованиями</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eastAsia="SimSun" w:cs="Times New Roman"/>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Большинство респондентов 76 % удовлетворены доступностью официальной информации о состоянии конкурентной среды на рынках товаров и услуг в Краснодарском крае, 59 % удовлетворены уровнем понятности официальной информации и 84 % удовлетворены удобством ее получения.</w:t>
      </w:r>
    </w:p>
    <w:p>
      <w:pPr>
        <w:pStyle w:val="Normal"/>
        <w:widowControl/>
        <w:numPr>
          <w:ilvl w:val="0"/>
          <w:numId w:val="0"/>
        </w:numPr>
        <w:tabs>
          <w:tab w:val="clear" w:pos="708"/>
          <w:tab w:val="left" w:pos="2145" w:leader="none"/>
        </w:tabs>
        <w:suppressAutoHyphens w:val="true"/>
        <w:bidi w:val="0"/>
        <w:spacing w:lineRule="auto" w:line="240" w:before="0" w:after="0"/>
        <w:ind w:hanging="0" w:left="0" w:right="0"/>
        <w:jc w:val="both"/>
        <w:textAlignment w:val="baselin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Большинство респондентов (72 %) «удовлетворены» полнотой, размещенной органом исполнительной власти Краснодарского края информации о состоянии конкурентной среды на рынках товаров, работ и услуг.</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eastAsia="SimSun" w:cs="Times New Roman"/>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Большинство респондентов 63 % доверяют больше всего печатным средствам массовой информации о состоянии конкурентной среды на рынках товаров, работ и услуг Краснодарского края и деятельности по содействию развитию конкуренции. Также большинство респондентов предпочитают пользоваться для получения информации – телевидением (97 %) и радио (81 %).</w:t>
      </w:r>
    </w:p>
    <w:p>
      <w:pPr>
        <w:pStyle w:val="Normal"/>
        <w:widowControl/>
        <w:numPr>
          <w:ilvl w:val="0"/>
          <w:numId w:val="0"/>
        </w:numPr>
        <w:tabs>
          <w:tab w:val="clear" w:pos="708"/>
          <w:tab w:val="left" w:pos="2145" w:leader="none"/>
        </w:tabs>
        <w:suppressAutoHyphens w:val="true"/>
        <w:bidi w:val="0"/>
        <w:spacing w:lineRule="auto" w:line="240" w:before="0" w:after="0"/>
        <w:ind w:hanging="0" w:left="0" w:right="0"/>
        <w:jc w:val="both"/>
        <w:textAlignment w:val="baseline"/>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Большинство респондентов представителей бизнеса удовлетворены уровнем доступности, понятностью и удо</w:t>
      </w:r>
      <w:r>
        <w:rPr>
          <w:rFonts w:cs="Times New Roman" w:ascii="Times New Roman" w:hAnsi="Times New Roman"/>
          <w:sz w:val="28"/>
          <w:szCs w:val="28"/>
        </w:rPr>
        <w:t>бством получения информации о состоянии конкурентной среды на рынках товаров и услуг Краснодарского края, размещенной в открытом доступе.</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eastAsia="SimSun" w:cs="Times New Roman"/>
          <w:b w:val="false"/>
          <w:bCs w:val="false"/>
          <w:color w:val="auto"/>
          <w:kern w:val="2"/>
          <w:sz w:val="28"/>
          <w:szCs w:val="28"/>
          <w:lang w:val="ru-RU" w:eastAsia="ar-SA" w:bidi="ar-SA"/>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Более 89 % респондентов представителей бизнеса «удовлетворены» полнотой, размещенной информации о состоянии конкурентной среды на рынках товаров, работ и услуг Краснодарского края  и деятельности по содействию развитию конкуренции.</w:t>
      </w:r>
    </w:p>
    <w:p>
      <w:pPr>
        <w:pStyle w:val="Normal"/>
        <w:widowControl/>
        <w:numPr>
          <w:ilvl w:val="0"/>
          <w:numId w:val="0"/>
        </w:numPr>
        <w:tabs>
          <w:tab w:val="clear" w:pos="708"/>
          <w:tab w:val="left" w:pos="2145" w:leader="none"/>
        </w:tabs>
        <w:suppressAutoHyphens w:val="true"/>
        <w:bidi w:val="0"/>
        <w:spacing w:lineRule="auto" w:line="240" w:before="0" w:after="0"/>
        <w:ind w:hanging="0" w:left="0" w:right="0"/>
        <w:jc w:val="both"/>
        <w:textAlignment w:val="baseline"/>
        <w:rPr/>
      </w:pPr>
      <w:r>
        <w:rPr>
          <w:rFonts w:eastAsia="SimSun" w:cs="Times New Roman" w:ascii="Times New Roman" w:hAnsi="Times New Roman"/>
          <w:b w:val="false"/>
          <w:bCs w:val="false"/>
          <w:color w:val="auto"/>
          <w:kern w:val="2"/>
          <w:sz w:val="28"/>
          <w:szCs w:val="28"/>
          <w:lang w:val="ru-RU" w:eastAsia="ar-SA" w:bidi="ar-SA"/>
        </w:rPr>
        <w:t xml:space="preserve">      </w:t>
      </w:r>
      <w:r>
        <w:rPr>
          <w:rFonts w:eastAsia="SimSun" w:cs="Times New Roman" w:ascii="Times New Roman" w:hAnsi="Times New Roman"/>
          <w:b w:val="false"/>
          <w:bCs w:val="false"/>
          <w:color w:val="auto"/>
          <w:kern w:val="2"/>
          <w:sz w:val="28"/>
          <w:szCs w:val="28"/>
          <w:lang w:val="ru-RU" w:eastAsia="ar-SA" w:bidi="ar-SA"/>
        </w:rPr>
        <w:t>69 % респондентов-предпринимталей пользуются специальными блогами, порталами и прочими электронными ресур</w:t>
      </w:r>
      <w:r>
        <w:rPr>
          <w:rFonts w:cs="Times New Roman" w:ascii="Times New Roman" w:hAnsi="Times New Roman"/>
          <w:sz w:val="28"/>
        </w:rPr>
        <w:t>сами, печатными средствами массовой информации, информацией, размещенной на официальных сайтах, официальной информацией, размещенной на интернет-порталах об инвестиционной деятельности, а также на официальный сайтах для получения информации о состоянии конкурентной среды.</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auto"/>
        <w:rPr>
          <w:rFonts w:ascii="Times New Roman" w:hAnsi="Times New Roman" w:cs="Times New Roman"/>
          <w:sz w:val="28"/>
          <w:szCs w:val="28"/>
        </w:rPr>
      </w:pPr>
      <w:r>
        <w:rPr>
          <w:rFonts w:cs="Times New Roman" w:ascii="Times New Roman" w:hAnsi="Times New Roman"/>
          <w:sz w:val="28"/>
          <w:szCs w:val="28"/>
        </w:rPr>
      </w:r>
    </w:p>
    <w:p>
      <w:pPr>
        <w:pStyle w:val="ListParagraph"/>
        <w:widowControl/>
        <w:numPr>
          <w:ilvl w:val="0"/>
          <w:numId w:val="0"/>
        </w:numPr>
        <w:suppressAutoHyphens w:val="true"/>
        <w:bidi w:val="0"/>
        <w:spacing w:lineRule="auto" w:line="240" w:before="0" w:after="0"/>
        <w:ind w:hanging="0" w:left="680" w:right="0"/>
        <w:contextualSpacing/>
        <w:jc w:val="both"/>
        <w:textAlignment w:val="baseline"/>
        <w:rPr/>
      </w:pPr>
      <w:r>
        <w:rPr>
          <w:rFonts w:cs="Times New Roman" w:ascii="Times New Roman" w:hAnsi="Times New Roman"/>
          <w:color w:val="000000"/>
          <w:sz w:val="28"/>
          <w:szCs w:val="28"/>
        </w:rPr>
        <w:t xml:space="preserve">1.4. </w:t>
      </w:r>
      <w:r>
        <w:rPr>
          <w:rFonts w:cs="Times New Roman" w:ascii="Times New Roman" w:hAnsi="Times New Roman"/>
          <w:b/>
          <w:color w:val="000000"/>
          <w:sz w:val="28"/>
          <w:szCs w:val="28"/>
          <w:lang w:val="ru-RU" w:bidi="ar-SA"/>
        </w:rPr>
        <w:t>Мониторинг развития передовых производственных технологий и их внедрения, а также процесса цифровизации экономики и формирования новых рынков и секторов</w:t>
      </w:r>
    </w:p>
    <w:p>
      <w:pPr>
        <w:pStyle w:val="ListParagraph"/>
        <w:spacing w:lineRule="auto" w:line="240" w:before="0" w:after="0"/>
        <w:ind w:firstLine="709" w:left="0" w:righ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baseline"/>
        <w:rPr>
          <w:rFonts w:ascii="Times New Roman" w:hAnsi="Times New Roman" w:eastAsia="SimSun" w:cs="Times New Roman"/>
          <w:color w:val="auto"/>
          <w:kern w:val="2"/>
          <w:sz w:val="28"/>
          <w:szCs w:val="28"/>
          <w:lang w:val="ru-RU" w:eastAsia="ar-SA" w:bidi="ar-SA"/>
        </w:rPr>
      </w:pPr>
      <w:r>
        <w:rPr>
          <w:rFonts w:eastAsia="SimSun" w:cs="Times New Roman" w:ascii="Times New Roman" w:hAnsi="Times New Roman"/>
          <w:color w:val="auto"/>
          <w:kern w:val="2"/>
          <w:sz w:val="28"/>
          <w:szCs w:val="28"/>
          <w:lang w:val="ru-RU" w:eastAsia="ar-SA" w:bidi="ar-SA"/>
        </w:rPr>
        <w:t xml:space="preserve">          </w:t>
      </w:r>
      <w:r>
        <w:rPr>
          <w:rFonts w:eastAsia="SimSun" w:cs="Times New Roman" w:ascii="Times New Roman" w:hAnsi="Times New Roman"/>
          <w:color w:val="auto"/>
          <w:kern w:val="2"/>
          <w:sz w:val="28"/>
          <w:szCs w:val="28"/>
          <w:lang w:val="ru-RU" w:eastAsia="ar-SA" w:bidi="ar-SA"/>
        </w:rPr>
        <w:t>Основной сферой применения цифровизации является экономика, которая сегодня постепенно становится «цифровой». То есть все данные обрабатываются цифровыми способами. Это и онлайн-услуги, торговля через интернет, электронные платежи, реклама в интернете, электронный документооборот и многое другое.</w:t>
      </w:r>
    </w:p>
    <w:p>
      <w:pPr>
        <w:pStyle w:val="Normal"/>
        <w:widowControl/>
        <w:numPr>
          <w:ilvl w:val="0"/>
          <w:numId w:val="0"/>
        </w:numPr>
        <w:tabs>
          <w:tab w:val="clear" w:pos="708"/>
          <w:tab w:val="left" w:pos="2145" w:leader="none"/>
        </w:tabs>
        <w:suppressAutoHyphens w:val="false"/>
        <w:bidi w:val="0"/>
        <w:spacing w:lineRule="auto" w:line="240" w:before="0" w:after="0"/>
        <w:ind w:hanging="0" w:left="0" w:right="0"/>
        <w:jc w:val="both"/>
        <w:textAlignment w:val="baselin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Трансформация в цифровую экономику позволяет гражданам получать доступ к услугам и товарам быстрее и проще.</w:t>
      </w:r>
    </w:p>
    <w:p>
      <w:pPr>
        <w:pStyle w:val="Normal"/>
        <w:numPr>
          <w:ilvl w:val="0"/>
          <w:numId w:val="0"/>
        </w:numPr>
        <w:spacing w:lineRule="auto" w:line="240"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Цифровые технологии помогают оптимизировать все процессы так, чтобы людям было комфортно жить, работать и отдыхать. Кроме того, они положительно влияют на развитие экономики страны и промышленности.</w:t>
      </w:r>
    </w:p>
    <w:p>
      <w:pPr>
        <w:pStyle w:val="Normal"/>
        <w:numPr>
          <w:ilvl w:val="0"/>
          <w:numId w:val="0"/>
        </w:numPr>
        <w:spacing w:lineRule="auto" w:line="240" w:before="0" w:after="0"/>
        <w:ind w:hanging="0" w:left="0" w:right="0"/>
        <w:jc w:val="both"/>
        <w:rPr/>
      </w:pPr>
      <w:r>
        <w:rPr>
          <w:rFonts w:cs="Times New Roman" w:ascii="Times New Roman" w:hAnsi="Times New Roman"/>
          <w:sz w:val="28"/>
          <w:szCs w:val="28"/>
        </w:rPr>
        <w:t xml:space="preserve">    </w:t>
      </w:r>
      <w:r>
        <w:rPr>
          <w:rFonts w:eastAsia="SimSun" w:cs="Times New Roman" w:ascii="Times New Roman" w:hAnsi="Times New Roman"/>
          <w:color w:val="auto"/>
          <w:kern w:val="2"/>
          <w:sz w:val="28"/>
          <w:szCs w:val="28"/>
          <w:lang w:val="ru-RU" w:eastAsia="ar-SA" w:bidi="ar-SA"/>
        </w:rPr>
        <w:t xml:space="preserve">Удовлетворенность доступностью и качеством цифровых услуг на территории Краснодарского края предпринимателей:    </w:t>
      </w:r>
    </w:p>
    <w:tbl>
      <w:tblPr>
        <w:tblW w:w="5000" w:type="pct"/>
        <w:jc w:val="left"/>
        <w:tblInd w:w="108" w:type="dxa"/>
        <w:tblLayout w:type="fixed"/>
        <w:tblCellMar>
          <w:top w:w="55" w:type="dxa"/>
          <w:left w:w="108" w:type="dxa"/>
          <w:bottom w:w="55" w:type="dxa"/>
          <w:right w:w="108" w:type="dxa"/>
        </w:tblCellMar>
      </w:tblPr>
      <w:tblGrid>
        <w:gridCol w:w="2409"/>
        <w:gridCol w:w="2409"/>
        <w:gridCol w:w="2410"/>
        <w:gridCol w:w="2409"/>
      </w:tblGrid>
      <w:tr>
        <w:trPr/>
        <w:tc>
          <w:tcPr>
            <w:tcW w:w="2409" w:type="dxa"/>
            <w:tcBorders>
              <w:top w:val="single" w:sz="4" w:space="0" w:color="000000"/>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Цифровая услуга</w:t>
            </w:r>
          </w:p>
        </w:tc>
        <w:tc>
          <w:tcPr>
            <w:tcW w:w="2409" w:type="dxa"/>
            <w:tcBorders>
              <w:top w:val="single" w:sz="4" w:space="0" w:color="000000"/>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Удовлетворен</w:t>
            </w:r>
          </w:p>
        </w:tc>
        <w:tc>
          <w:tcPr>
            <w:tcW w:w="2410" w:type="dxa"/>
            <w:tcBorders>
              <w:top w:val="single" w:sz="4" w:space="0" w:color="000000"/>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Не удовлетворен</w:t>
            </w:r>
          </w:p>
        </w:tc>
        <w:tc>
          <w:tcPr>
            <w:tcW w:w="2409" w:type="dxa"/>
            <w:tcBorders>
              <w:top w:val="single" w:sz="4" w:space="0" w:color="000000"/>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Не сталкивался</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Портал инспекции федеральной налоговой службы по Краснодарскому краю</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84,2</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5,8</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10</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Портал государственных услуг Российской Федерации</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91,4</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3,7</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4,9</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Единый портал Многофункциональных центров предоставления государственных и муниципальных услуг Краснодарского края</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81,0</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4,9</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14,1</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Интернет-банкинг</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81,7</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10,6</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7,7</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 xml:space="preserve"> </w:t>
            </w:r>
            <w:r>
              <w:rPr>
                <w:rFonts w:eastAsia="SimSun" w:cs="Times New Roman" w:ascii="Times New Roman" w:hAnsi="Times New Roman"/>
                <w:color w:val="auto"/>
                <w:sz w:val="20"/>
                <w:szCs w:val="20"/>
                <w:lang w:val="ru-RU" w:eastAsia="ar-SA" w:bidi="ar-SA"/>
              </w:rPr>
              <w:t>Инвестиционный портал Краснодарского края</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75</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2,6</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22,4</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 xml:space="preserve"> </w:t>
            </w:r>
            <w:r>
              <w:rPr>
                <w:rFonts w:eastAsia="SimSun" w:cs="Times New Roman" w:ascii="Times New Roman" w:hAnsi="Times New Roman"/>
                <w:color w:val="auto"/>
                <w:sz w:val="20"/>
                <w:szCs w:val="20"/>
                <w:lang w:val="ru-RU" w:eastAsia="ar-SA" w:bidi="ar-SA"/>
              </w:rPr>
              <w:t>Онлайн-торговля (реализация товаров и услуг (операции которые совершаются удаленно), таких как реализация электронных билетов, различные личные кабинеты и т.д.)</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79,2</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6,8</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14</w:t>
            </w:r>
          </w:p>
        </w:tc>
      </w:tr>
      <w:tr>
        <w:trPr/>
        <w:tc>
          <w:tcPr>
            <w:tcW w:w="2409" w:type="dxa"/>
            <w:tcBorders>
              <w:left w:val="single" w:sz="4" w:space="0" w:color="000000"/>
              <w:bottom w:val="single" w:sz="4" w:space="0" w:color="000000"/>
            </w:tcBorders>
          </w:tcPr>
          <w:p>
            <w:pPr>
              <w:pStyle w:val="Normal"/>
              <w:bidi w:val="0"/>
              <w:spacing w:before="0" w:after="160"/>
              <w:jc w:val="left"/>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Информационные порталы Администрации и органов исполнительной власти Краснодарского края</w:t>
            </w:r>
          </w:p>
        </w:tc>
        <w:tc>
          <w:tcPr>
            <w:tcW w:w="2409"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89,4</w:t>
            </w:r>
          </w:p>
        </w:tc>
        <w:tc>
          <w:tcPr>
            <w:tcW w:w="2410" w:type="dxa"/>
            <w:tcBorders>
              <w:left w:val="single" w:sz="4" w:space="0" w:color="000000"/>
              <w:bottom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1,2</w:t>
            </w:r>
          </w:p>
        </w:tc>
        <w:tc>
          <w:tcPr>
            <w:tcW w:w="2409" w:type="dxa"/>
            <w:tcBorders>
              <w:left w:val="single" w:sz="4" w:space="0" w:color="000000"/>
              <w:bottom w:val="single" w:sz="4" w:space="0" w:color="000000"/>
              <w:right w:val="single" w:sz="4" w:space="0" w:color="000000"/>
            </w:tcBorders>
          </w:tcPr>
          <w:p>
            <w:pPr>
              <w:pStyle w:val="Style24"/>
              <w:spacing w:before="0" w:after="160"/>
              <w:rPr>
                <w:rFonts w:ascii="Times New Roman" w:hAnsi="Times New Roman" w:eastAsia="SimSun" w:cs="Times New Roman"/>
                <w:color w:val="auto"/>
                <w:sz w:val="20"/>
                <w:szCs w:val="20"/>
                <w:lang w:val="ru-RU" w:eastAsia="ar-SA" w:bidi="ar-SA"/>
              </w:rPr>
            </w:pPr>
            <w:r>
              <w:rPr>
                <w:rFonts w:eastAsia="SimSun" w:cs="Times New Roman" w:ascii="Times New Roman" w:hAnsi="Times New Roman"/>
                <w:color w:val="auto"/>
                <w:sz w:val="20"/>
                <w:szCs w:val="20"/>
                <w:lang w:val="ru-RU" w:eastAsia="ar-SA" w:bidi="ar-SA"/>
              </w:rPr>
              <w:t>9,4</w:t>
            </w:r>
          </w:p>
        </w:tc>
      </w:tr>
    </w:tbl>
    <w:p>
      <w:pPr>
        <w:pStyle w:val="Normal"/>
        <w:numPr>
          <w:ilvl w:val="0"/>
          <w:numId w:val="0"/>
        </w:numPr>
        <w:tabs>
          <w:tab w:val="clear" w:pos="708"/>
          <w:tab w:val="left" w:pos="2145" w:leader="none"/>
        </w:tabs>
        <w:spacing w:lineRule="auto" w:line="240"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clear" w:pos="708"/>
          <w:tab w:val="left" w:pos="2145" w:leader="none"/>
        </w:tabs>
        <w:spacing w:lineRule="auto" w:line="240" w:before="0" w:after="0"/>
        <w:ind w:hanging="0" w:left="0" w:right="0"/>
        <w:jc w:val="both"/>
        <w:rPr/>
      </w:pPr>
      <w:r>
        <w:rPr>
          <w:rFonts w:cs="Times New Roman" w:ascii="Times New Roman" w:hAnsi="Times New Roman"/>
          <w:sz w:val="28"/>
          <w:szCs w:val="28"/>
        </w:rPr>
        <w:t xml:space="preserve">      </w:t>
      </w:r>
      <w:r>
        <w:rPr>
          <w:rFonts w:cs="Times New Roman" w:ascii="Times New Roman" w:hAnsi="Times New Roman"/>
          <w:sz w:val="28"/>
          <w:szCs w:val="28"/>
        </w:rPr>
        <w:t>Большинство респондентов 66 % ответили, что не пользовались новыми технологиями в 2024 году, 21,5% отмечают увеличение уровня производительности труда, 10,6 % считают, что уровень производительности труда не изменился с применением цифровых технологий</w:t>
      </w:r>
      <w:r>
        <w:rPr>
          <w:rFonts w:cs="Times New Roman" w:ascii="Times New Roman" w:hAnsi="Times New Roman"/>
          <w:b/>
          <w:sz w:val="28"/>
          <w:szCs w:val="28"/>
        </w:rPr>
        <w:t>.</w:t>
      </w:r>
    </w:p>
    <w:p>
      <w:pPr>
        <w:pStyle w:val="Normal"/>
        <w:numPr>
          <w:ilvl w:val="0"/>
          <w:numId w:val="0"/>
        </w:numPr>
        <w:tabs>
          <w:tab w:val="clear" w:pos="708"/>
          <w:tab w:val="left" w:pos="2145" w:leader="none"/>
        </w:tabs>
        <w:spacing w:lineRule="auto" w:line="240" w:before="0" w:after="0"/>
        <w:ind w:hanging="0" w:left="0" w:right="0"/>
        <w:jc w:val="both"/>
        <w:rPr/>
      </w:pPr>
      <w:r>
        <w:rPr>
          <w:rFonts w:cs="Times New Roman" w:ascii="Times New Roman" w:hAnsi="Times New Roman"/>
          <w:sz w:val="28"/>
          <w:szCs w:val="28"/>
        </w:rPr>
        <w:t xml:space="preserve">   </w:t>
      </w:r>
      <w:r>
        <w:rPr>
          <w:rFonts w:cs="Times New Roman" w:ascii="Times New Roman" w:hAnsi="Times New Roman"/>
          <w:sz w:val="28"/>
          <w:szCs w:val="28"/>
        </w:rPr>
        <w:t>Большинство респондентов-представителей бизнеса, считают, что препятствия при разработке при разработке передовых производственных технологий отсутствуют, однако небольшая часть респондентов 6,4 % считают, что не хватает квалифицированных кадров.</w:t>
      </w:r>
      <w:r>
        <w:rPr>
          <w:rFonts w:cs="Times New Roman"/>
          <w:b w:val="false"/>
          <w:i w:val="false"/>
          <w:strike w:val="false"/>
          <w:dstrike w:val="false"/>
          <w:outline w:val="false"/>
          <w:shadow w:val="false"/>
          <w:color w:val="000000"/>
          <w:sz w:val="22"/>
          <w:u w:val="none"/>
          <w:em w:val="none"/>
        </w:rPr>
        <w:t xml:space="preserve"> </w:t>
      </w:r>
    </w:p>
    <w:p>
      <w:pPr>
        <w:pStyle w:val="Normal"/>
        <w:numPr>
          <w:ilvl w:val="0"/>
          <w:numId w:val="0"/>
        </w:numPr>
        <w:tabs>
          <w:tab w:val="clear" w:pos="708"/>
          <w:tab w:val="left" w:pos="2145" w:leader="none"/>
        </w:tabs>
        <w:spacing w:lineRule="auto" w:line="240"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2. Результаты мониторинга деятельности хозяйствующих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субъектов, доля участия муниципального образования в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которых составляет 50 и более процентов</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suppressAutoHyphens w:val="false"/>
        <w:bidi w:val="0"/>
        <w:spacing w:lineRule="auto" w:line="240" w:before="0" w:after="0"/>
        <w:ind w:firstLine="709" w:right="0"/>
        <w:jc w:val="both"/>
        <w:textAlignment w:val="baseline"/>
        <w:rPr>
          <w:rFonts w:ascii="Times New Roman" w:hAnsi="Times New Roman" w:eastAsia="SimSun" w:cs="Times New Roman"/>
          <w:color w:val="000000"/>
          <w:kern w:val="2"/>
          <w:sz w:val="28"/>
          <w:szCs w:val="28"/>
          <w:shd w:fill="auto" w:val="clear"/>
          <w:lang w:val="ru-RU" w:eastAsia="ar-SA" w:bidi="ar-SA"/>
        </w:rPr>
      </w:pPr>
      <w:r>
        <w:rPr>
          <w:rFonts w:eastAsia="SimSun" w:cs="Times New Roman" w:ascii="Times New Roman" w:hAnsi="Times New Roman"/>
          <w:color w:val="000000"/>
          <w:kern w:val="2"/>
          <w:sz w:val="28"/>
          <w:szCs w:val="28"/>
          <w:shd w:fill="auto" w:val="clear"/>
          <w:lang w:val="ru-RU" w:eastAsia="ar-SA" w:bidi="ar-SA"/>
        </w:rPr>
        <w:t>На территории муниципального образования Кореновский район в деятельности товарных рынков задействовано 102 хозяйствующих субъекта муниципальной формы собственности, 91,5 процента из которых составляют муниципальные учреждения социальной сферы (Приложение № 1).</w:t>
      </w:r>
    </w:p>
    <w:p>
      <w:pPr>
        <w:pStyle w:val="Normal"/>
        <w:widowControl/>
        <w:suppressAutoHyphens w:val="false"/>
        <w:bidi w:val="0"/>
        <w:spacing w:lineRule="auto" w:line="240" w:before="0" w:after="0"/>
        <w:ind w:firstLine="709" w:right="0"/>
        <w:jc w:val="both"/>
        <w:textAlignment w:val="baseline"/>
        <w:rPr>
          <w:rFonts w:ascii="Times New Roman" w:hAnsi="Times New Roman" w:eastAsia="SimSun" w:cs="Times New Roman"/>
          <w:color w:val="auto"/>
          <w:kern w:val="2"/>
          <w:sz w:val="28"/>
          <w:szCs w:val="28"/>
          <w:lang w:val="ru-RU" w:eastAsia="ar-SA" w:bidi="ar-SA"/>
        </w:rPr>
      </w:pPr>
      <w:r>
        <w:rPr>
          <w:rFonts w:eastAsia="SimSun" w:cs="Times New Roman" w:ascii="Times New Roman" w:hAnsi="Times New Roman"/>
          <w:color w:val="auto"/>
          <w:kern w:val="2"/>
          <w:sz w:val="28"/>
          <w:szCs w:val="28"/>
          <w:lang w:val="ru-RU" w:eastAsia="ar-SA" w:bidi="ar-SA"/>
        </w:rPr>
        <w:t>В общем объеме хозяйствующих субъектов муниципальной формы собственности 9 муниципальных унитарных предприятий, задействованных на  рынке водоснабжения и водоотведения, рынке теплоснабжения. Реорганизация или ликвидация муниципальных унитарных предприятий в 2023 году не проводилась (в 2024 году не планируется), так как все 9 предприятий являются субъектами естественных монополий.</w:t>
      </w:r>
    </w:p>
    <w:p>
      <w:pPr>
        <w:pStyle w:val="Normal"/>
        <w:suppressAutoHyphens w:val="false"/>
        <w:bidi w:val="0"/>
        <w:spacing w:lineRule="auto" w:line="240" w:before="0" w:after="0"/>
        <w:ind w:firstLine="709" w:right="0"/>
        <w:jc w:val="both"/>
        <w:rPr/>
      </w:pPr>
      <w:r>
        <w:rPr>
          <w:rFonts w:eastAsia="SimSun" w:cs="Times New Roman" w:ascii="Times New Roman" w:hAnsi="Times New Roman"/>
          <w:color w:val="000000"/>
          <w:kern w:val="2"/>
          <w:sz w:val="28"/>
          <w:szCs w:val="28"/>
          <w:shd w:fill="auto" w:val="clear"/>
          <w:lang w:val="ru-RU" w:eastAsia="ar-SA" w:bidi="ar-SA"/>
        </w:rPr>
        <w:t>Анализируя рыночные доли хозяйствующих субъектов муниципальной формы собственности на товарных рынках муниципального образования Кореновский район, можно сказать, что наибольший удельный вес присутствия муниципальных учреждений наблюдаем на рынке общего образования (100%), консультирование в сфере АПК (100%), рынке услуг дошкольного образования (100,%), рынке услуг дополнительного образования детей (88,9%), рынке культуры (81,2%), рынке водоснабжения и водоотведения (87,6%), рынке  спортивных услуг (84,1%).</w:t>
      </w:r>
      <w:r>
        <w:rPr>
          <w:rFonts w:eastAsia="SimSun" w:cs="Times New Roman" w:ascii="Times New Roman" w:hAnsi="Times New Roman"/>
          <w:b w:val="false"/>
          <w:bCs w:val="false"/>
          <w:color w:val="000000"/>
          <w:kern w:val="2"/>
          <w:sz w:val="28"/>
          <w:szCs w:val="28"/>
          <w:shd w:fill="auto" w:val="clear"/>
          <w:lang w:val="ru-RU" w:eastAsia="ar-SA" w:bidi="ar-SA"/>
        </w:rPr>
        <w:t>Детальный анализ присутствия муниципальных учреждений Кореновского района на товарных рынках муниципального образования Кореновский район представлен в приложении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3. Создание и реализация механизмов общественного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контроля за деятельностью субъектов естественных монополий.</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eastAsia="Times New Roman" w:cs="Times New Roman"/>
          <w:sz w:val="28"/>
          <w:szCs w:val="28"/>
          <w:shd w:fill="auto" w:val="clear"/>
          <w:lang w:eastAsia="ru-RU"/>
        </w:rPr>
      </w:pPr>
      <w:r>
        <w:rPr>
          <w:rFonts w:eastAsia="Times New Roman" w:cs="Times New Roman" w:ascii="Times New Roman" w:hAnsi="Times New Roman"/>
          <w:sz w:val="28"/>
          <w:szCs w:val="28"/>
          <w:shd w:fill="auto" w:val="clear"/>
          <w:lang w:eastAsia="ru-RU"/>
        </w:rPr>
        <w:t>В Кореновском районе развиваются 4 рынка, на которых присутствуют субъекты естественных монополий: рынок услуг водоснабжения и водоотведения, рынок теплоснабжения (производства тепловой энергии), рынок услуг связи, в том числе услуг по предоставлению широкополосного доступа к информационно-телекоммуникационной сети «Интернет», рынок электроэнергетики.</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Согласно реестра субъектов естественных монополий, опубликованных на официальном сайте Федеральной антимонопольной службы, в муниципальном образовании Кореновский район присутствуют:</w:t>
      </w:r>
    </w:p>
    <w:p>
      <w:pPr>
        <w:pStyle w:val="Normal"/>
        <w:tabs>
          <w:tab w:val="clear" w:pos="708"/>
          <w:tab w:val="left" w:pos="709" w:leader="none"/>
        </w:tabs>
        <w:suppressAutoHyphens w:val="false"/>
        <w:bidi w:val="0"/>
        <w:spacing w:lineRule="auto" w:line="240" w:before="0" w:after="0"/>
        <w:ind w:firstLine="709" w:right="0"/>
        <w:jc w:val="both"/>
        <w:rPr/>
      </w:pPr>
      <w:r>
        <w:rPr>
          <w:rFonts w:cs="Times New Roman" w:ascii="Times New Roman" w:hAnsi="Times New Roman"/>
          <w:sz w:val="28"/>
          <w:szCs w:val="28"/>
          <w:shd w:fill="auto" w:val="clear"/>
          <w:lang w:eastAsia="ru-RU"/>
        </w:rPr>
        <w:t>1. В топливно — энергетическом комплексе по разделу «Транспортировка газа по трубопроводам» осуществляет деятельность ОАО «Газпром газораспределение Краснодар» - АО «Кореновскрайгаз». Предприятие осуществляет вес</w:t>
      </w:r>
      <w:r>
        <w:rPr>
          <w:rFonts w:cs="Times New Roman" w:ascii="Times New Roman" w:hAnsi="Times New Roman"/>
          <w:sz w:val="28"/>
          <w:shd w:fill="auto" w:val="clear"/>
        </w:rPr>
        <w:t xml:space="preserve">ь комплекс работ и услуг, необходимый для газификации: от выдачи технических условий на подключение к существующим газопроводам до ввода в эксплуатацию и обеспечение технического обслуживания газовых сетей и оборудования, обеспечивая стабильную транспортировку природного газа по распределительным сетям. </w:t>
      </w:r>
      <w:r>
        <w:rPr>
          <w:rFonts w:cs="Times New Roman" w:ascii="Times New Roman" w:hAnsi="Times New Roman"/>
          <w:sz w:val="28"/>
          <w:szCs w:val="28"/>
          <w:shd w:fill="auto" w:val="clear"/>
          <w:lang w:eastAsia="ru-RU"/>
        </w:rPr>
        <w:t xml:space="preserve">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 </w:t>
      </w:r>
    </w:p>
    <w:p>
      <w:pPr>
        <w:pStyle w:val="Normal"/>
        <w:tabs>
          <w:tab w:val="clear" w:pos="708"/>
          <w:tab w:val="left" w:pos="709" w:leader="none"/>
        </w:tabs>
        <w:suppressAutoHyphens w:val="false"/>
        <w:bidi w:val="0"/>
        <w:spacing w:lineRule="auto" w:line="240" w:before="0" w:after="0"/>
        <w:ind w:firstLine="709" w:right="0"/>
        <w:jc w:val="both"/>
        <w:rPr/>
      </w:pPr>
      <w:r>
        <w:rPr>
          <w:rFonts w:cs="Times New Roman" w:ascii="Times New Roman" w:hAnsi="Times New Roman"/>
          <w:sz w:val="28"/>
          <w:szCs w:val="28"/>
          <w:shd w:fill="auto" w:val="clear"/>
          <w:lang w:eastAsia="ru-RU"/>
        </w:rPr>
        <w:t>2. В топливно — энергетическом комплексе по разделу «Услуги по пер</w:t>
      </w:r>
      <w:r>
        <w:rPr>
          <w:rFonts w:cs="Times New Roman" w:ascii="Times New Roman" w:hAnsi="Times New Roman"/>
          <w:sz w:val="28"/>
          <w:szCs w:val="28"/>
          <w:lang w:eastAsia="ru-RU"/>
        </w:rPr>
        <w:t>едаче электрической и (или) тепловой энергии» осуществляют деятельность ПАО «Россети Кубань», АО «НЭСК-электросети», МУП «Тепловые сети Кореновского городского поселения и АО «Теплосервис».</w:t>
      </w:r>
    </w:p>
    <w:p>
      <w:pPr>
        <w:pStyle w:val="Normal"/>
        <w:tabs>
          <w:tab w:val="clear" w:pos="708"/>
          <w:tab w:val="left" w:pos="709" w:leader="none"/>
        </w:tabs>
        <w:suppressAutoHyphens w:val="false"/>
        <w:bidi w:val="0"/>
        <w:spacing w:lineRule="auto" w:line="240" w:before="0" w:after="0"/>
        <w:ind w:firstLine="709" w:right="0"/>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Основными видами деятельности ПАО </w:t>
      </w:r>
      <w:r>
        <w:rPr>
          <w:rFonts w:cs="Times New Roman" w:ascii="Times New Roman" w:hAnsi="Times New Roman"/>
          <w:sz w:val="28"/>
          <w:szCs w:val="28"/>
          <w:lang w:val="en-US" w:eastAsia="ru-RU"/>
        </w:rPr>
        <w:t>“</w:t>
      </w:r>
      <w:r>
        <w:rPr>
          <w:rFonts w:cs="Times New Roman" w:ascii="Times New Roman" w:hAnsi="Times New Roman"/>
          <w:sz w:val="28"/>
          <w:szCs w:val="28"/>
          <w:lang w:val="ru-RU" w:eastAsia="ru-RU"/>
        </w:rPr>
        <w:t>Россети Кубань»</w:t>
      </w:r>
      <w:r>
        <w:rPr>
          <w:rFonts w:cs="Times New Roman" w:ascii="Times New Roman" w:hAnsi="Times New Roman"/>
          <w:sz w:val="28"/>
          <w:szCs w:val="28"/>
          <w:lang w:eastAsia="ru-RU"/>
        </w:rPr>
        <w:t>, АО «НЭСК-электросети» являются: транспортировка (приём, передача и распределение) электроэнергии по электрическим сетям; технологические присоединения к электросетям; эксплуатация и обслуживание электрических сетей. 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w:t>
      </w:r>
    </w:p>
    <w:p>
      <w:pPr>
        <w:pStyle w:val="Normal"/>
        <w:tabs>
          <w:tab w:val="clear" w:pos="708"/>
          <w:tab w:val="left" w:pos="709" w:leader="none"/>
        </w:tabs>
        <w:suppressAutoHyphens w:val="false"/>
        <w:bidi w:val="0"/>
        <w:spacing w:lineRule="auto" w:line="240" w:before="0" w:after="0"/>
        <w:ind w:firstLine="709" w:right="0"/>
        <w:jc w:val="both"/>
        <w:rPr/>
      </w:pPr>
      <w:r>
        <w:rPr>
          <w:rFonts w:cs="Times New Roman" w:ascii="Times New Roman" w:hAnsi="Times New Roman"/>
          <w:sz w:val="28"/>
          <w:szCs w:val="28"/>
          <w:lang w:eastAsia="ru-RU"/>
        </w:rPr>
        <w:t xml:space="preserve">Услуги по технологическому присоединению оказывает Филиал «Кореновскэлектросеть» - АО «НЭСК-электросети». Существует возможность подать заявку на технологическое присоединение через сайт:  </w:t>
      </w:r>
      <w:hyperlink r:id="rId8">
        <w:r>
          <w:rPr>
            <w:rStyle w:val="Hyperlink"/>
            <w:rFonts w:cs="Times New Roman" w:ascii="Times New Roman" w:hAnsi="Times New Roman"/>
            <w:sz w:val="28"/>
            <w:szCs w:val="28"/>
            <w:lang w:eastAsia="ru-RU"/>
          </w:rPr>
          <w:t>https://www.nesk-elseti.ru/tehnologicheskoe-prisoedinenie/</w:t>
        </w:r>
      </w:hyperlink>
      <w:r>
        <w:rPr>
          <w:rFonts w:cs="Times New Roman" w:ascii="Times New Roman" w:hAnsi="Times New Roman"/>
          <w:sz w:val="28"/>
          <w:szCs w:val="28"/>
          <w:lang w:eastAsia="ru-RU"/>
        </w:rPr>
        <w:t>.</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Возможность подачи заявления ПАО «Россети Кубани»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МУП «Тепловые сети» Кореновского городского поселения является поставщиком тепловой энергии и горячего водоснабжения на территории муниципального образования Кореновский район. В 2024 году исполнена 1 заявка на технологическое присоединение.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АО «Теплосервис» является поставщиком тепловой энергии и горячего водоснабжения на территории муниципального образования Кореновский район. В 2024 году исполнена 1 заявка на технологическое присоединение.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ab/>
        <w:t>3. В реестре субъектов области связи по разделу «Услуги общедоступной почтовой связи» осуществляет деятельность АО «Почта России» - Динской почтамт. Осуществляемые виды деятельности в условиях естественной монополии: пересылка внутренней корреспонденции (почтовых карточек, писем, бандеролей). Конкуренция отсутствует. Тарифы на пересылку регулируются локально - нормативными актами АО «Почта России» и различаются по видам отправлений и услуг.</w:t>
      </w:r>
    </w:p>
    <w:p>
      <w:pPr>
        <w:pStyle w:val="Normal"/>
        <w:tabs>
          <w:tab w:val="clear" w:pos="708"/>
          <w:tab w:val="left" w:pos="709" w:leader="none"/>
        </w:tabs>
        <w:suppressAutoHyphens w:val="false"/>
        <w:bidi w:val="0"/>
        <w:spacing w:lineRule="auto" w:line="240" w:before="0" w:after="0"/>
        <w:ind w:firstLine="709" w:right="0"/>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По разделу «Услуги общедоступной электросвязи» на территории Кореновского района осуществляет свою деятельность ПАО междугородной и международной электрической связи «Ростелеком». Осуществляемые виды деятельности в условиях естественной монополии: предоставление доступа к сети местной телефонной связи; предоставление местного телефонного соединения; предоставление внутризонового соединения; передача внутренних телеграмм. Конкуренция отсутствует. Тарифы различаются по видам услуг.</w:t>
      </w:r>
    </w:p>
    <w:p>
      <w:pPr>
        <w:pStyle w:val="Normal"/>
        <w:tabs>
          <w:tab w:val="clear" w:pos="708"/>
          <w:tab w:val="left" w:pos="709" w:leader="none"/>
        </w:tabs>
        <w:bidi w:val="0"/>
        <w:spacing w:lineRule="auto" w:line="240" w:before="0" w:after="0"/>
        <w:jc w:val="both"/>
        <w:rPr/>
      </w:pPr>
      <w:r>
        <w:rPr>
          <w:rFonts w:cs="Times New Roman" w:ascii="Times New Roman" w:hAnsi="Times New Roman"/>
          <w:sz w:val="28"/>
          <w:szCs w:val="28"/>
          <w:lang w:eastAsia="ru-RU"/>
        </w:rPr>
        <w:tab/>
        <w:t xml:space="preserve">4. В реестре субъектов водоснабжения по разделу </w:t>
      </w:r>
      <w:r>
        <w:rPr>
          <w:rFonts w:cs="Times New Roman" w:ascii="Times New Roman" w:hAnsi="Times New Roman"/>
          <w:b w:val="false"/>
          <w:i w:val="false"/>
          <w:strike w:val="false"/>
          <w:dstrike w:val="false"/>
          <w:outline w:val="false"/>
          <w:shadow w:val="false"/>
          <w:sz w:val="28"/>
          <w:szCs w:val="28"/>
          <w:u w:val="none"/>
          <w:em w:val="none"/>
          <w:lang w:eastAsia="ru-RU"/>
        </w:rPr>
        <w:t>«Водоснабжение и водоотведение с использованием централизованных систем, систем коммунальной инфраструктуры» осуществляют деятельность:</w:t>
      </w:r>
    </w:p>
    <w:p>
      <w:pPr>
        <w:pStyle w:val="Style24"/>
        <w:tabs>
          <w:tab w:val="clear" w:pos="708"/>
          <w:tab w:val="left" w:pos="709" w:leader="none"/>
        </w:tabs>
        <w:suppressAutoHyphens w:val="false"/>
        <w:bidi w:val="0"/>
        <w:spacing w:lineRule="auto" w:line="240" w:before="0" w:after="0"/>
        <w:jc w:val="both"/>
        <w:rPr>
          <w:rFonts w:ascii="Times New Roman" w:hAnsi="Times New Roman" w:cs="Times New Roman"/>
          <w:b w:val="false"/>
          <w:i w:val="false"/>
          <w:i w:val="false"/>
          <w:strike w:val="false"/>
          <w:dstrike w:val="false"/>
          <w:outline w:val="false"/>
          <w:shadow w:val="false"/>
          <w:sz w:val="28"/>
          <w:szCs w:val="28"/>
          <w:u w:val="none"/>
          <w:em w:val="none"/>
          <w:lang w:eastAsia="ru-RU"/>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жилищно-коммунального хозяйства «Станица» Дядьковского сельского поселения Кореновского района.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24"/>
        <w:tabs>
          <w:tab w:val="clear" w:pos="708"/>
          <w:tab w:val="left" w:pos="709" w:leader="none"/>
        </w:tabs>
        <w:suppressAutoHyphens w:val="false"/>
        <w:bidi w:val="0"/>
        <w:spacing w:lineRule="auto" w:line="240" w:before="0" w:after="0"/>
        <w:jc w:val="both"/>
        <w:rPr>
          <w:rFonts w:ascii="Times New Roman" w:hAnsi="Times New Roman" w:cs="Times New Roman"/>
          <w:b w:val="false"/>
          <w:i w:val="false"/>
          <w:i w:val="false"/>
          <w:strike w:val="false"/>
          <w:dstrike w:val="false"/>
          <w:outline w:val="false"/>
          <w:shadow w:val="false"/>
          <w:sz w:val="28"/>
          <w:szCs w:val="28"/>
          <w:u w:val="none"/>
          <w:em w:val="none"/>
          <w:lang w:eastAsia="ru-RU"/>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Платнировского сельского поселения Кореновского района «Универсал».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w:t>
      </w:r>
    </w:p>
    <w:p>
      <w:pPr>
        <w:pStyle w:val="Style24"/>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Журавского сельского поселения Кореновского района «Жилищно-коммунальное хозяйство». Возможность подачи заявления на технологическое присоединение к централизованным системам водоснабжения и водоотведения электронно присутствует </w:t>
      </w:r>
      <w:r>
        <w:rPr>
          <w:rFonts w:cs="Times New Roman" w:ascii="Times New Roman" w:hAnsi="Times New Roman"/>
          <w:b w:val="false"/>
          <w:i w:val="false"/>
          <w:strike w:val="false"/>
          <w:dstrike w:val="false"/>
          <w:outline w:val="false"/>
          <w:shadow w:val="false"/>
          <w:sz w:val="28"/>
          <w:szCs w:val="28"/>
          <w:u w:val="none"/>
          <w:em w:val="none"/>
          <w:lang w:val="ru-RU" w:eastAsia="ru-RU"/>
        </w:rPr>
        <w:t xml:space="preserve">на сайте организации </w:t>
      </w:r>
      <w:hyperlink r:id="rId9">
        <w:r>
          <w:rPr>
            <w:rStyle w:val="Hyperlink"/>
            <w:rFonts w:cs="Times New Roman" w:ascii="Times New Roman" w:hAnsi="Times New Roman"/>
            <w:b w:val="false"/>
            <w:i w:val="false"/>
            <w:strike w:val="false"/>
            <w:dstrike w:val="false"/>
            <w:outline w:val="false"/>
            <w:shadow w:val="false"/>
            <w:sz w:val="28"/>
            <w:szCs w:val="28"/>
            <w:u w:val="none"/>
            <w:em w:val="none"/>
            <w:lang w:val="ru-RU" w:eastAsia="ru-RU"/>
          </w:rPr>
          <w:t>https://mupzhkh.nethouse.ru/</w:t>
        </w:r>
      </w:hyperlink>
      <w:r>
        <w:rPr>
          <w:rFonts w:cs="Times New Roman" w:ascii="Times New Roman" w:hAnsi="Times New Roman"/>
          <w:b w:val="false"/>
          <w:i w:val="false"/>
          <w:strike w:val="false"/>
          <w:dstrike w:val="false"/>
          <w:outline w:val="false"/>
          <w:shadow w:val="false"/>
          <w:sz w:val="28"/>
          <w:szCs w:val="28"/>
          <w:u w:val="none"/>
          <w:em w:val="none"/>
          <w:lang w:eastAsia="ru-RU"/>
        </w:rPr>
        <w:t xml:space="preserve">. </w:t>
      </w:r>
    </w:p>
    <w:p>
      <w:pPr>
        <w:pStyle w:val="Style24"/>
        <w:tabs>
          <w:tab w:val="clear" w:pos="708"/>
          <w:tab w:val="left" w:pos="709" w:leader="none"/>
        </w:tabs>
        <w:suppressAutoHyphens w:val="false"/>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МУП «Жилищно-коммунальное хозяйство» Сергиевского сельского поселения Кореновского района. Существует возможность подачи заявления на технологическое присоединение на сайте поставщика услуг: </w:t>
      </w:r>
      <w:hyperlink r:id="rId10">
        <w:r>
          <w:rPr>
            <w:rStyle w:val="Hyperlink"/>
            <w:rFonts w:eastAsia="SimSun" w:cs="Times New Roman" w:ascii="Times New Roman" w:hAnsi="Times New Roman"/>
            <w:b w:val="false"/>
            <w:i w:val="false"/>
            <w:strike w:val="false"/>
            <w:dstrike w:val="false"/>
            <w:outline w:val="false"/>
            <w:shadow w:val="false"/>
            <w:kern w:val="2"/>
            <w:sz w:val="28"/>
            <w:szCs w:val="28"/>
            <w:u w:val="none"/>
            <w:em w:val="none"/>
            <w:lang w:eastAsia="ru-RU"/>
          </w:rPr>
          <w:t>http://gkhsergievka.ru/порядок-подключения/</w:t>
        </w:r>
      </w:hyperlink>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 Прием заявлений посредством подачи через МФЦ не осуществляется. В отчетном периоде технологическое присоединение к сетям не осуществлялось. </w:t>
      </w:r>
    </w:p>
    <w:p>
      <w:pPr>
        <w:pStyle w:val="Style24"/>
        <w:tabs>
          <w:tab w:val="clear" w:pos="708"/>
          <w:tab w:val="left" w:pos="709" w:leader="none"/>
        </w:tabs>
        <w:suppressAutoHyphens w:val="false"/>
        <w:bidi w:val="0"/>
        <w:spacing w:lineRule="auto" w:line="240" w:before="0" w:after="0"/>
        <w:contextualSpacing/>
        <w:jc w:val="both"/>
        <w:rPr/>
      </w:pPr>
      <w:r>
        <w:rPr>
          <w:rFonts w:eastAsia="SimSun" w:cs="Times New Roman" w:ascii="Times New Roman" w:hAnsi="Times New Roman"/>
          <w:b w:val="false"/>
          <w:i w:val="false"/>
          <w:strike w:val="false"/>
          <w:dstrike w:val="false"/>
          <w:outline w:val="false"/>
          <w:shadow w:val="false"/>
          <w:kern w:val="2"/>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МУП «Жилищно-коммунальное хозяйство» Раздольненского сельского поселения Кореновского района. Отсутствует возможность подачи заявления на технологическое присоединение на сайте поставщика услуг или в МФЦ. В отчетном периоде технологическое присоединение к сетям не осуществлялось.</w:t>
      </w:r>
    </w:p>
    <w:p>
      <w:pPr>
        <w:pStyle w:val="Style24"/>
        <w:tabs>
          <w:tab w:val="clear" w:pos="708"/>
          <w:tab w:val="left" w:pos="709" w:leader="none"/>
        </w:tabs>
        <w:suppressAutoHyphens w:val="false"/>
        <w:bidi w:val="0"/>
        <w:spacing w:lineRule="auto" w:line="240" w:before="0" w:after="0"/>
        <w:contextualSpacing/>
        <w:jc w:val="both"/>
        <w:rPr/>
      </w:pPr>
      <w:r>
        <w:rPr>
          <w:rFonts w:eastAsia="SimSun" w:cs="Times New Roman" w:ascii="Times New Roman" w:hAnsi="Times New Roman"/>
          <w:b w:val="false"/>
          <w:i w:val="false"/>
          <w:strike w:val="false"/>
          <w:dstrike w:val="false"/>
          <w:outline w:val="false"/>
          <w:shadow w:val="false"/>
          <w:kern w:val="2"/>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МУП «Жилищно-коммунальное хозяйство» Пролетарского сельского поселения Кореновского района. Отсутствует возможность подачи заявления на технологическое присоединение на сайте поставщика услуг или в МФЦ. В отчетном периоде технологическое присоединение к сетям не осуществлялось.</w:t>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 xml:space="preserve">- МУП Кореновского городского поселения «ЖКХ».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w:t>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Тарифы на услуги, предоставляемые субъектами естественных монополий, осуществляющими деятельность на территории муниципального образования Кореновский район, в 2024 году изменились по отношению к уровню 2023 года:</w:t>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p>
      <w:pPr>
        <w:pStyle w:val="Style24"/>
        <w:tabs>
          <w:tab w:val="clear" w:pos="708"/>
          <w:tab w:val="left" w:pos="709" w:leader="none"/>
        </w:tabs>
        <w:suppressAutoHyphens w:val="false"/>
        <w:bidi w:val="0"/>
        <w:spacing w:lineRule="auto" w:line="240" w:before="0" w:after="0"/>
        <w:contextualSpacing/>
        <w:jc w:val="both"/>
        <w:rPr>
          <w:rFonts w:ascii="Times New Roman" w:hAnsi="Times New Roman" w:eastAsia="SimSun" w:cs="Times New Roman"/>
          <w:b w:val="false"/>
          <w:i w:val="false"/>
          <w:i w:val="false"/>
          <w:strike w:val="false"/>
          <w:dstrike w:val="false"/>
          <w:outline w:val="false"/>
          <w:shadow w:val="false"/>
          <w:kern w:val="2"/>
          <w:sz w:val="28"/>
          <w:szCs w:val="28"/>
          <w:u w:val="none"/>
          <w:em w:val="none"/>
          <w:lang w:eastAsia="ru-RU"/>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r>
    </w:p>
    <w:tbl>
      <w:tblPr>
        <w:tblW w:w="8528" w:type="dxa"/>
        <w:jc w:val="left"/>
        <w:tblInd w:w="25" w:type="dxa"/>
        <w:tblLayout w:type="fixed"/>
        <w:tblCellMar>
          <w:top w:w="55" w:type="dxa"/>
          <w:left w:w="55" w:type="dxa"/>
          <w:bottom w:w="55" w:type="dxa"/>
          <w:right w:w="55" w:type="dxa"/>
        </w:tblCellMar>
      </w:tblPr>
      <w:tblGrid>
        <w:gridCol w:w="2740"/>
        <w:gridCol w:w="678"/>
        <w:gridCol w:w="676"/>
        <w:gridCol w:w="1363"/>
        <w:gridCol w:w="853"/>
        <w:gridCol w:w="856"/>
        <w:gridCol w:w="1361"/>
      </w:tblGrid>
      <w:tr>
        <w:trPr>
          <w:trHeight w:val="300" w:hRule="atLeast"/>
        </w:trPr>
        <w:tc>
          <w:tcPr>
            <w:tcW w:w="2740" w:type="dxa"/>
            <w:vMerge w:val="restart"/>
            <w:tcBorders>
              <w:top w:val="single" w:sz="4" w:space="0" w:color="000000"/>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наименование предприятия</w:t>
            </w:r>
          </w:p>
        </w:tc>
        <w:tc>
          <w:tcPr>
            <w:tcW w:w="2717" w:type="dxa"/>
            <w:gridSpan w:val="3"/>
            <w:tcBorders>
              <w:top w:val="single" w:sz="4" w:space="0" w:color="000000"/>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водоснабжение, руб/куб.м</w:t>
            </w:r>
          </w:p>
        </w:tc>
        <w:tc>
          <w:tcPr>
            <w:tcW w:w="3070"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водоотведение, руб/куб.м</w:t>
            </w:r>
          </w:p>
        </w:tc>
      </w:tr>
      <w:tr>
        <w:trPr>
          <w:trHeight w:val="256" w:hRule="atLeast"/>
        </w:trPr>
        <w:tc>
          <w:tcPr>
            <w:tcW w:w="2740" w:type="dxa"/>
            <w:vMerge w:val="continue"/>
            <w:tcBorders>
              <w:top w:val="single" w:sz="4" w:space="0" w:color="000000"/>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r>
          </w:p>
        </w:tc>
        <w:tc>
          <w:tcPr>
            <w:tcW w:w="678"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2024</w:t>
            </w:r>
          </w:p>
        </w:tc>
        <w:tc>
          <w:tcPr>
            <w:tcW w:w="676"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2023</w:t>
            </w:r>
          </w:p>
        </w:tc>
        <w:tc>
          <w:tcPr>
            <w:tcW w:w="1363"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темп роста, %</w:t>
            </w:r>
          </w:p>
        </w:tc>
        <w:tc>
          <w:tcPr>
            <w:tcW w:w="853"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2024</w:t>
            </w:r>
          </w:p>
        </w:tc>
        <w:tc>
          <w:tcPr>
            <w:tcW w:w="856" w:type="dxa"/>
            <w:tcBorders>
              <w:left w:val="single" w:sz="4" w:space="0" w:color="000000"/>
              <w:bottom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2023</w:t>
            </w:r>
          </w:p>
        </w:tc>
        <w:tc>
          <w:tcPr>
            <w:tcW w:w="1361" w:type="dxa"/>
            <w:tcBorders>
              <w:left w:val="single" w:sz="4" w:space="0" w:color="000000"/>
              <w:bottom w:val="single" w:sz="4" w:space="0" w:color="000000"/>
              <w:right w:val="single" w:sz="4" w:space="0" w:color="000000"/>
            </w:tcBorders>
            <w:vAlign w:val="center"/>
          </w:tcPr>
          <w:p>
            <w:pPr>
              <w:pStyle w:val="Normal"/>
              <w:tabs>
                <w:tab w:val="clear" w:pos="708"/>
              </w:tabs>
              <w:spacing w:before="0" w:after="160"/>
              <w:jc w:val="center"/>
              <w:rPr>
                <w:rFonts w:ascii="Times New Roman" w:hAnsi="Times New Roman"/>
              </w:rPr>
            </w:pPr>
            <w:r>
              <w:rPr>
                <w:rFonts w:ascii="Times New Roman" w:hAnsi="Times New Roman"/>
              </w:rPr>
              <w:t>темп роста, %</w:t>
            </w:r>
          </w:p>
        </w:tc>
      </w:tr>
      <w:tr>
        <w:trPr>
          <w:trHeight w:val="318"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КГП «ЖКХ»</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32,08</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29,51</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109</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23,02</w:t>
            </w:r>
          </w:p>
        </w:tc>
        <w:tc>
          <w:tcPr>
            <w:tcW w:w="85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23,02</w:t>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100</w:t>
            </w:r>
          </w:p>
        </w:tc>
      </w:tr>
      <w:tr>
        <w:trPr>
          <w:trHeight w:val="300"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Журавского СП</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34,10</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32,25</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106</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6"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00"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Дядьковского СП «Станица»</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36,54</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35,00</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104</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6"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18"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Новоберезанского СП «ЖКХ»</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23,94</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22,49</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106</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25,81</w:t>
            </w:r>
          </w:p>
        </w:tc>
        <w:tc>
          <w:tcPr>
            <w:tcW w:w="85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23,55</w:t>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110</w:t>
            </w:r>
          </w:p>
        </w:tc>
      </w:tr>
      <w:tr>
        <w:trPr>
          <w:trHeight w:val="318"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«Универсал» Платнировского сп</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34,58</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34,03</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102</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39,60</w:t>
            </w:r>
          </w:p>
        </w:tc>
        <w:tc>
          <w:tcPr>
            <w:tcW w:w="85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36,14</w:t>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110</w:t>
            </w:r>
          </w:p>
        </w:tc>
      </w:tr>
      <w:tr>
        <w:trPr>
          <w:trHeight w:val="300"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Пролетарского сп</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27,45</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27,28</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101</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6"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00"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Раздольненского сп</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26,55</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26,55</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100</w:t>
            </w:r>
          </w:p>
        </w:tc>
        <w:tc>
          <w:tcPr>
            <w:tcW w:w="853"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856"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left"/>
              <w:rPr>
                <w:rFonts w:ascii="Times New Roman" w:hAnsi="Times New Roman"/>
                <w:i/>
                <w:i/>
              </w:rPr>
            </w:pPr>
            <w:r>
              <w:rPr>
                <w:rFonts w:ascii="Times New Roman" w:hAnsi="Times New Roman"/>
                <w:i/>
              </w:rPr>
            </w:r>
          </w:p>
        </w:tc>
      </w:tr>
      <w:tr>
        <w:trPr>
          <w:trHeight w:val="318" w:hRule="atLeast"/>
        </w:trPr>
        <w:tc>
          <w:tcPr>
            <w:tcW w:w="2740" w:type="dxa"/>
            <w:tcBorders>
              <w:left w:val="single" w:sz="4" w:space="0" w:color="000000"/>
              <w:bottom w:val="single" w:sz="4" w:space="0" w:color="000000"/>
            </w:tcBorders>
            <w:vAlign w:val="bottom"/>
          </w:tcPr>
          <w:p>
            <w:pPr>
              <w:pStyle w:val="Normal"/>
              <w:tabs>
                <w:tab w:val="clear" w:pos="708"/>
              </w:tabs>
              <w:spacing w:before="0" w:after="160"/>
              <w:jc w:val="left"/>
              <w:rPr>
                <w:rFonts w:ascii="Times New Roman" w:hAnsi="Times New Roman"/>
              </w:rPr>
            </w:pPr>
            <w:r>
              <w:rPr>
                <w:rFonts w:ascii="Times New Roman" w:hAnsi="Times New Roman"/>
              </w:rPr>
              <w:t>МУП «ЖКХ» Сергиевского сп</w:t>
            </w:r>
          </w:p>
        </w:tc>
        <w:tc>
          <w:tcPr>
            <w:tcW w:w="678"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37,40</w:t>
            </w:r>
          </w:p>
        </w:tc>
        <w:tc>
          <w:tcPr>
            <w:tcW w:w="67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34,33</w:t>
            </w:r>
          </w:p>
        </w:tc>
        <w:tc>
          <w:tcPr>
            <w:tcW w:w="136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109</w:t>
            </w:r>
          </w:p>
        </w:tc>
        <w:tc>
          <w:tcPr>
            <w:tcW w:w="853"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42,72</w:t>
            </w:r>
          </w:p>
        </w:tc>
        <w:tc>
          <w:tcPr>
            <w:tcW w:w="856" w:type="dxa"/>
            <w:tcBorders>
              <w:left w:val="single" w:sz="4" w:space="0" w:color="000000"/>
              <w:bottom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38,98</w:t>
            </w:r>
          </w:p>
        </w:tc>
        <w:tc>
          <w:tcPr>
            <w:tcW w:w="1361" w:type="dxa"/>
            <w:tcBorders>
              <w:left w:val="single" w:sz="4" w:space="0" w:color="000000"/>
              <w:bottom w:val="single" w:sz="4" w:space="0" w:color="000000"/>
              <w:right w:val="single" w:sz="4" w:space="0" w:color="000000"/>
            </w:tcBorders>
            <w:vAlign w:val="bottom"/>
          </w:tcPr>
          <w:p>
            <w:pPr>
              <w:pStyle w:val="Normal"/>
              <w:tabs>
                <w:tab w:val="clear" w:pos="708"/>
              </w:tabs>
              <w:spacing w:before="0" w:after="160"/>
              <w:jc w:val="right"/>
              <w:rPr>
                <w:rFonts w:ascii="Times New Roman" w:hAnsi="Times New Roman"/>
              </w:rPr>
            </w:pPr>
            <w:r>
              <w:rPr>
                <w:rFonts w:ascii="Times New Roman" w:hAnsi="Times New Roman"/>
                <w:i/>
              </w:rPr>
              <w:t>110</w:t>
            </w:r>
          </w:p>
        </w:tc>
      </w:tr>
    </w:tbl>
    <w:p>
      <w:pPr>
        <w:pStyle w:val="Normal"/>
        <w:tabs>
          <w:tab w:val="clear" w:pos="708"/>
          <w:tab w:val="left" w:pos="709" w:leader="none"/>
        </w:tabs>
        <w:suppressAutoHyphens w:val="false"/>
        <w:bidi w:val="0"/>
        <w:spacing w:lineRule="auto" w:line="240" w:before="0" w:after="0"/>
        <w:ind w:firstLine="709" w:right="0"/>
        <w:jc w:val="both"/>
        <w:rPr/>
      </w:pPr>
      <w:r>
        <w:rPr>
          <w:rFonts w:eastAsia="SimSun" w:cs="Times New Roman" w:ascii="Times New Roman" w:hAnsi="Times New Roman"/>
          <w:b w:val="false"/>
          <w:i w:val="false"/>
          <w:strike w:val="false"/>
          <w:dstrike w:val="false"/>
          <w:outline w:val="false"/>
          <w:shadow w:val="false"/>
          <w:color w:val="auto"/>
          <w:kern w:val="2"/>
          <w:sz w:val="28"/>
          <w:szCs w:val="28"/>
          <w:u w:val="none"/>
          <w:em w:val="none"/>
          <w:lang w:val="ru-RU" w:eastAsia="ru-RU" w:bidi="ar-SA"/>
        </w:rPr>
        <w:t>Н</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арушения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в 2023 году отсутствуют.</w:t>
      </w:r>
    </w:p>
    <w:p>
      <w:pPr>
        <w:pStyle w:val="Normal"/>
        <w:tabs>
          <w:tab w:val="clear" w:pos="708"/>
          <w:tab w:val="left" w:pos="709" w:leader="none"/>
        </w:tabs>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r>
      <w:r>
        <w:rPr>
          <w:rFonts w:cs="serif;Times New Roman" w:ascii="serif;Times New Roman" w:hAnsi="serif;Times New Roman"/>
          <w:sz w:val="28"/>
          <w:szCs w:val="28"/>
        </w:rPr>
        <w:t xml:space="preserve">Реестр субъектов естественных монополий </w:t>
      </w:r>
      <w:r>
        <w:rPr>
          <w:rFonts w:cs="Times New Roman" w:ascii="Times New Roman" w:hAnsi="Times New Roman"/>
          <w:sz w:val="28"/>
          <w:szCs w:val="28"/>
        </w:rPr>
        <w:t xml:space="preserve">размещен на официальном портале администрации муниципального образования в разделе </w:t>
      </w:r>
      <w:r>
        <w:rPr>
          <w:rStyle w:val="FontStyle23"/>
          <w:sz w:val="28"/>
          <w:szCs w:val="28"/>
          <w:lang w:eastAsia="ru-RU"/>
        </w:rPr>
        <w:t>«Экономика» в подразделе «Стандарт развития конкуренции» (</w:t>
      </w:r>
      <w:hyperlink r:id="rId11">
        <w:r>
          <w:rPr>
            <w:rStyle w:val="Hyperlink"/>
            <w:rFonts w:cs="Times New Roman" w:ascii="Times New Roman" w:hAnsi="Times New Roman"/>
            <w:sz w:val="26"/>
          </w:rPr>
          <w:t>http://www.korenovsk.ru/?page_id=071947</w:t>
        </w:r>
      </w:hyperlink>
      <w:r>
        <w:rPr>
          <w:rStyle w:val="FontStyle23"/>
          <w:sz w:val="28"/>
          <w:szCs w:val="28"/>
          <w:lang w:eastAsia="ru-RU"/>
        </w:rPr>
        <w:t>).</w:t>
      </w:r>
    </w:p>
    <w:p>
      <w:pPr>
        <w:pStyle w:val="Normal"/>
        <w:tabs>
          <w:tab w:val="clear" w:pos="708"/>
          <w:tab w:val="left" w:pos="0" w:leader="none"/>
          <w:tab w:val="left" w:pos="1276" w:leader="none"/>
          <w:tab w:val="left" w:pos="1418" w:leader="none"/>
        </w:tabs>
        <w:bidi w:val="0"/>
        <w:spacing w:lineRule="auto" w:line="240" w:before="0" w:after="0"/>
        <w:ind w:firstLine="709" w:right="0"/>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t>Потребители услуг оценивают уровень качества услуг субъектов естественных монополий в Кореновском районе следующим образом:</w:t>
      </w:r>
    </w:p>
    <w:tbl>
      <w:tblPr>
        <w:tblW w:w="9632" w:type="dxa"/>
        <w:jc w:val="left"/>
        <w:tblInd w:w="0" w:type="dxa"/>
        <w:tblLayout w:type="fixed"/>
        <w:tblCellMar>
          <w:top w:w="55" w:type="dxa"/>
          <w:left w:w="108" w:type="dxa"/>
          <w:bottom w:w="55" w:type="dxa"/>
          <w:right w:w="108" w:type="dxa"/>
        </w:tblCellMar>
      </w:tblPr>
      <w:tblGrid>
        <w:gridCol w:w="3168"/>
        <w:gridCol w:w="2661"/>
        <w:gridCol w:w="2203"/>
        <w:gridCol w:w="1599"/>
      </w:tblGrid>
      <w:tr>
        <w:trPr/>
        <w:tc>
          <w:tcPr>
            <w:tcW w:w="3168"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cs="Times New Roman"/>
                <w:sz w:val="20"/>
                <w:szCs w:val="20"/>
              </w:rPr>
            </w:pPr>
            <w:r>
              <w:rPr>
                <w:rFonts w:cs="Times New Roman" w:ascii="Times New Roman" w:hAnsi="Times New Roman"/>
                <w:sz w:val="20"/>
                <w:szCs w:val="20"/>
              </w:rPr>
              <w:t>Наименование субъекта</w:t>
            </w:r>
          </w:p>
        </w:tc>
        <w:tc>
          <w:tcPr>
            <w:tcW w:w="266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Удовлетворительно</w:t>
            </w:r>
          </w:p>
        </w:tc>
        <w:tc>
          <w:tcPr>
            <w:tcW w:w="2203"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Не удовлетворительно</w:t>
            </w:r>
          </w:p>
        </w:tc>
        <w:tc>
          <w:tcPr>
            <w:tcW w:w="15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contextualSpacing/>
              <w:jc w:val="center"/>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Затрудняюсь ответить</w:t>
            </w:r>
          </w:p>
        </w:tc>
      </w:tr>
      <w:tr>
        <w:trPr/>
        <w:tc>
          <w:tcPr>
            <w:tcW w:w="316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Водоснабжение, водоотведение</w:t>
            </w:r>
          </w:p>
        </w:tc>
        <w:tc>
          <w:tcPr>
            <w:tcW w:w="266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kern w:val="2"/>
                <w:sz w:val="20"/>
                <w:szCs w:val="20"/>
                <w:lang w:eastAsia="ar-SA"/>
              </w:rPr>
            </w:pPr>
            <w:r>
              <w:rPr>
                <w:rFonts w:eastAsia="SimSun" w:cs="Times New Roman" w:ascii="Times New Roman" w:hAnsi="Times New Roman"/>
                <w:kern w:val="2"/>
                <w:sz w:val="20"/>
                <w:szCs w:val="20"/>
                <w:lang w:eastAsia="ar-SA"/>
              </w:rPr>
              <w:t>78,8</w:t>
            </w:r>
          </w:p>
        </w:tc>
        <w:tc>
          <w:tcPr>
            <w:tcW w:w="220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11</w:t>
            </w:r>
          </w:p>
        </w:tc>
        <w:tc>
          <w:tcPr>
            <w:tcW w:w="15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10,2</w:t>
            </w:r>
          </w:p>
        </w:tc>
      </w:tr>
      <w:tr>
        <w:trPr/>
        <w:tc>
          <w:tcPr>
            <w:tcW w:w="316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Водоочистка</w:t>
            </w:r>
          </w:p>
        </w:tc>
        <w:tc>
          <w:tcPr>
            <w:tcW w:w="266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75,8</w:t>
            </w:r>
          </w:p>
        </w:tc>
        <w:tc>
          <w:tcPr>
            <w:tcW w:w="220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13,1</w:t>
            </w:r>
          </w:p>
        </w:tc>
        <w:tc>
          <w:tcPr>
            <w:tcW w:w="15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11,1</w:t>
            </w:r>
          </w:p>
        </w:tc>
      </w:tr>
      <w:tr>
        <w:trPr/>
        <w:tc>
          <w:tcPr>
            <w:tcW w:w="316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Газоснабжение</w:t>
            </w:r>
          </w:p>
        </w:tc>
        <w:tc>
          <w:tcPr>
            <w:tcW w:w="266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83,6</w:t>
            </w:r>
          </w:p>
        </w:tc>
        <w:tc>
          <w:tcPr>
            <w:tcW w:w="220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7,4</w:t>
            </w:r>
          </w:p>
        </w:tc>
        <w:tc>
          <w:tcPr>
            <w:tcW w:w="15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9</w:t>
            </w:r>
          </w:p>
        </w:tc>
      </w:tr>
      <w:tr>
        <w:trPr/>
        <w:tc>
          <w:tcPr>
            <w:tcW w:w="316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Электроснабжение</w:t>
            </w:r>
          </w:p>
        </w:tc>
        <w:tc>
          <w:tcPr>
            <w:tcW w:w="266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85,2</w:t>
            </w:r>
          </w:p>
        </w:tc>
        <w:tc>
          <w:tcPr>
            <w:tcW w:w="220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6</w:t>
            </w:r>
          </w:p>
        </w:tc>
        <w:tc>
          <w:tcPr>
            <w:tcW w:w="15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8,8</w:t>
            </w:r>
          </w:p>
        </w:tc>
      </w:tr>
      <w:tr>
        <w:trPr/>
        <w:tc>
          <w:tcPr>
            <w:tcW w:w="316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Теплоснабжение</w:t>
            </w:r>
          </w:p>
        </w:tc>
        <w:tc>
          <w:tcPr>
            <w:tcW w:w="266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78</w:t>
            </w:r>
          </w:p>
        </w:tc>
        <w:tc>
          <w:tcPr>
            <w:tcW w:w="220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8,9</w:t>
            </w:r>
          </w:p>
        </w:tc>
        <w:tc>
          <w:tcPr>
            <w:tcW w:w="15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13,1</w:t>
            </w:r>
          </w:p>
        </w:tc>
      </w:tr>
      <w:tr>
        <w:trPr/>
        <w:tc>
          <w:tcPr>
            <w:tcW w:w="316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cs="Times New Roman"/>
                <w:kern w:val="0"/>
                <w:sz w:val="20"/>
                <w:szCs w:val="20"/>
                <w:lang w:val="ru-RU" w:bidi="ar-SA"/>
              </w:rPr>
            </w:pPr>
            <w:r>
              <w:rPr>
                <w:rFonts w:cs="Times New Roman" w:ascii="Times New Roman" w:hAnsi="Times New Roman"/>
                <w:kern w:val="0"/>
                <w:sz w:val="20"/>
                <w:szCs w:val="20"/>
                <w:lang w:val="ru-RU" w:bidi="ar-SA"/>
              </w:rPr>
              <w:t>Телефонная связь</w:t>
            </w:r>
          </w:p>
        </w:tc>
        <w:tc>
          <w:tcPr>
            <w:tcW w:w="266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84,2</w:t>
            </w:r>
          </w:p>
        </w:tc>
        <w:tc>
          <w:tcPr>
            <w:tcW w:w="220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6,2</w:t>
            </w:r>
          </w:p>
        </w:tc>
        <w:tc>
          <w:tcPr>
            <w:tcW w:w="15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cs="Times New Roman"/>
                <w:sz w:val="20"/>
                <w:szCs w:val="20"/>
              </w:rPr>
            </w:pPr>
            <w:r>
              <w:rPr>
                <w:rFonts w:cs="Times New Roman" w:ascii="Times New Roman" w:hAnsi="Times New Roman"/>
                <w:sz w:val="20"/>
                <w:szCs w:val="20"/>
              </w:rPr>
              <w:t>9,6</w:t>
            </w:r>
          </w:p>
        </w:tc>
      </w:tr>
    </w:tbl>
    <w:p>
      <w:pPr>
        <w:pStyle w:val="Normal"/>
        <w:tabs>
          <w:tab w:val="clear" w:pos="708"/>
          <w:tab w:val="left" w:pos="0" w:leader="none"/>
          <w:tab w:val="left" w:pos="1276" w:leader="none"/>
          <w:tab w:val="left" w:pos="1418" w:leader="none"/>
        </w:tabs>
        <w:bidi w:val="0"/>
        <w:spacing w:lineRule="auto" w:line="240" w:before="0" w:after="0"/>
        <w:ind w:firstLine="709" w:right="0"/>
        <w:jc w:val="both"/>
        <w:rPr>
          <w:color w:val="00000A"/>
        </w:rPr>
      </w:pPr>
      <w:r>
        <w:rPr>
          <w:rFonts w:eastAsia="SimSun" w:cs="Times New Roman" w:ascii="Times New Roman" w:hAnsi="Times New Roman"/>
          <w:color w:val="00000A"/>
          <w:kern w:val="2"/>
          <w:sz w:val="28"/>
          <w:szCs w:val="28"/>
          <w:shd w:fill="FFFFFF" w:val="clear"/>
          <w:lang w:eastAsia="ar-SA"/>
        </w:rPr>
        <w:t>49,2 процента опрошенных не сталкивались с проблемами при взаимодействии с субъектами естественных монополий, у 36,7 процента опрошенных ответ на данный вопрос вызвал затруднения, 5,5 процента отметили факт навязывания дополнительных услуг при взаимодействии с данными субъектами, 4,1 процента отметили взимание дополнительной платы.</w:t>
      </w:r>
    </w:p>
    <w:p>
      <w:pPr>
        <w:pStyle w:val="Normal"/>
        <w:tabs>
          <w:tab w:val="clear" w:pos="708"/>
          <w:tab w:val="left" w:pos="0" w:leader="none"/>
          <w:tab w:val="left" w:pos="1276" w:leader="none"/>
          <w:tab w:val="left" w:pos="1418" w:leader="none"/>
        </w:tabs>
        <w:bidi w:val="0"/>
        <w:spacing w:lineRule="auto" w:line="240" w:before="0" w:after="0"/>
        <w:ind w:firstLine="709" w:right="0"/>
        <w:jc w:val="both"/>
        <w:rPr/>
      </w:pPr>
      <w:r>
        <w:rPr>
          <w:rFonts w:eastAsia="SimSun" w:cs="Times New Roman" w:ascii="Times New Roman" w:hAnsi="Times New Roman"/>
          <w:color w:val="00000A"/>
          <w:kern w:val="2"/>
          <w:sz w:val="28"/>
          <w:szCs w:val="28"/>
          <w:shd w:fill="FFFFFF" w:val="clear"/>
          <w:lang w:eastAsia="ar-SA"/>
        </w:rPr>
        <w:t>По результатам проведенного опроса</w:t>
      </w:r>
      <w:r>
        <w:rPr>
          <w:rFonts w:eastAsia="SimSun" w:cs="Times New Roman" w:ascii="Times New Roman" w:hAnsi="Times New Roman"/>
          <w:b w:val="false"/>
          <w:bCs w:val="false"/>
          <w:color w:val="00000A"/>
          <w:kern w:val="2"/>
          <w:sz w:val="28"/>
          <w:szCs w:val="28"/>
          <w:shd w:fill="FFFFFF" w:val="clear"/>
          <w:lang w:eastAsia="ar-SA"/>
        </w:rPr>
        <w:t xml:space="preserve"> респонденты-предприниматели</w:t>
      </w:r>
      <w:r>
        <w:rPr>
          <w:rFonts w:eastAsia="SimSun" w:cs="Times New Roman" w:ascii="Times New Roman" w:hAnsi="Times New Roman"/>
          <w:color w:val="00000A"/>
          <w:kern w:val="2"/>
          <w:sz w:val="28"/>
          <w:szCs w:val="28"/>
          <w:shd w:fill="FFFFFF" w:val="clear"/>
          <w:lang w:eastAsia="ar-SA"/>
        </w:rPr>
        <w:t xml:space="preserve"> следующим образом оценили (в процентах):</w:t>
      </w:r>
      <w:r>
        <w:rPr>
          <w:rFonts w:eastAsia="SimSun" w:cs="Times New Roman" w:ascii="Times New Roman" w:hAnsi="Times New Roman"/>
          <w:color w:val="00000A"/>
          <w:kern w:val="2"/>
          <w:sz w:val="28"/>
          <w:szCs w:val="28"/>
          <w:shd w:fill="FFFFFF" w:val="clear"/>
          <w:lang w:val="ru-RU" w:eastAsia="ar-SA" w:bidi="ar-SA"/>
        </w:rPr>
        <w:t xml:space="preserve"> </w:t>
      </w:r>
      <w:r>
        <w:rPr>
          <w:rFonts w:eastAsia="SimSun" w:cs="Times New Roman" w:ascii="Times New Roman" w:hAnsi="Times New Roman"/>
          <w:b w:val="false"/>
          <w:bCs w:val="false"/>
          <w:color w:val="00000A"/>
          <w:kern w:val="2"/>
          <w:sz w:val="28"/>
          <w:szCs w:val="28"/>
          <w:shd w:fill="FFFFFF" w:val="clear"/>
          <w:lang w:val="ru-RU" w:eastAsia="ar-SA" w:bidi="ar-SA"/>
        </w:rPr>
        <w:t>сроки получения доступа к услугам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28"/>
        <w:gridCol w:w="2672"/>
        <w:gridCol w:w="3035"/>
        <w:gridCol w:w="2196"/>
      </w:tblGrid>
      <w:tr>
        <w:trPr/>
        <w:tc>
          <w:tcPr>
            <w:tcW w:w="1728"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267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3035"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219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w:t>
            </w:r>
          </w:p>
        </w:tc>
      </w:tr>
      <w:tr>
        <w:trPr/>
        <w:tc>
          <w:tcPr>
            <w:tcW w:w="172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267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80,2</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5,2</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14,6</w:t>
            </w:r>
          </w:p>
        </w:tc>
      </w:tr>
      <w:tr>
        <w:trPr/>
        <w:tc>
          <w:tcPr>
            <w:tcW w:w="172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267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78,3</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6,4</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15,3</w:t>
            </w:r>
          </w:p>
        </w:tc>
      </w:tr>
      <w:tr>
        <w:trPr/>
        <w:tc>
          <w:tcPr>
            <w:tcW w:w="172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267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79,7</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10,5</w:t>
            </w:r>
          </w:p>
        </w:tc>
      </w:tr>
      <w:tr>
        <w:trPr/>
        <w:tc>
          <w:tcPr>
            <w:tcW w:w="172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267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82,3</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15,3</w:t>
            </w:r>
          </w:p>
        </w:tc>
      </w:tr>
      <w:tr>
        <w:trPr/>
        <w:tc>
          <w:tcPr>
            <w:tcW w:w="172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267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80,3</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19,2</w:t>
            </w:r>
          </w:p>
        </w:tc>
      </w:tr>
      <w:tr>
        <w:trPr/>
        <w:tc>
          <w:tcPr>
            <w:tcW w:w="172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267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79,6</w:t>
            </w:r>
          </w:p>
        </w:tc>
        <w:tc>
          <w:tcPr>
            <w:tcW w:w="303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w:t>
            </w:r>
          </w:p>
        </w:tc>
        <w:tc>
          <w:tcPr>
            <w:tcW w:w="219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19,4</w:t>
            </w:r>
          </w:p>
        </w:tc>
      </w:tr>
    </w:tbl>
    <w:p>
      <w:pPr>
        <w:pStyle w:val="ListParagraph"/>
        <w:numPr>
          <w:ilvl w:val="0"/>
          <w:numId w:val="0"/>
        </w:numPr>
        <w:tabs>
          <w:tab w:val="clear" w:pos="708"/>
          <w:tab w:val="left" w:pos="426" w:leader="none"/>
          <w:tab w:val="left" w:pos="460" w:leader="none"/>
        </w:tabs>
        <w:bidi w:val="0"/>
        <w:spacing w:lineRule="auto" w:line="276"/>
        <w:ind w:hanging="0" w:left="0" w:right="0"/>
        <w:jc w:val="both"/>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ab/>
        <w:tab/>
        <w:tab/>
        <w:t>сложность (количество) процедур подключения услуг субъектов естественных монополий:</w:t>
      </w:r>
    </w:p>
    <w:tbl>
      <w:tblPr>
        <w:tblW w:w="9631" w:type="dxa"/>
        <w:jc w:val="left"/>
        <w:tblInd w:w="0" w:type="dxa"/>
        <w:tblLayout w:type="fixed"/>
        <w:tblCellMar>
          <w:top w:w="55" w:type="dxa"/>
          <w:left w:w="108" w:type="dxa"/>
          <w:bottom w:w="55" w:type="dxa"/>
          <w:right w:w="108" w:type="dxa"/>
        </w:tblCellMar>
      </w:tblPr>
      <w:tblGrid>
        <w:gridCol w:w="3102"/>
        <w:gridCol w:w="2007"/>
        <w:gridCol w:w="2280"/>
        <w:gridCol w:w="2241"/>
      </w:tblGrid>
      <w:tr>
        <w:trPr/>
        <w:tc>
          <w:tcPr>
            <w:tcW w:w="310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200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228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224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74,7</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21,5</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71,9</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0,6</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27,5</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66,9</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6,5</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26,6</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72,7</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23,6</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71,4</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26,1</w:t>
            </w:r>
          </w:p>
        </w:tc>
      </w:tr>
      <w:tr>
        <w:trPr/>
        <w:tc>
          <w:tcPr>
            <w:tcW w:w="310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200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80,1</w:t>
            </w:r>
          </w:p>
        </w:tc>
        <w:tc>
          <w:tcPr>
            <w:tcW w:w="228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w:t>
            </w:r>
          </w:p>
        </w:tc>
        <w:tc>
          <w:tcPr>
            <w:tcW w:w="2241"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14,3</w:t>
            </w:r>
          </w:p>
        </w:tc>
      </w:tr>
    </w:tbl>
    <w:p>
      <w:pPr>
        <w:pStyle w:val="ListParagraph"/>
        <w:numPr>
          <w:ilvl w:val="0"/>
          <w:numId w:val="0"/>
        </w:numPr>
        <w:tabs>
          <w:tab w:val="clear" w:pos="708"/>
          <w:tab w:val="left" w:pos="284" w:leader="none"/>
          <w:tab w:val="left" w:pos="460" w:leader="none"/>
        </w:tabs>
        <w:bidi w:val="0"/>
        <w:spacing w:lineRule="auto" w:line="276"/>
        <w:ind w:hanging="0" w:left="1211" w:right="0"/>
        <w:jc w:val="left"/>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стоимость подключения услуг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3304"/>
        <w:gridCol w:w="2140"/>
        <w:gridCol w:w="2431"/>
        <w:gridCol w:w="1756"/>
      </w:tblGrid>
      <w:tr>
        <w:trPr/>
        <w:tc>
          <w:tcPr>
            <w:tcW w:w="3304"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214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243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75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63,2</w:t>
            </w:r>
          </w:p>
        </w:tc>
        <w:tc>
          <w:tcPr>
            <w:tcW w:w="24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25,2</w:t>
            </w:r>
          </w:p>
        </w:tc>
        <w:tc>
          <w:tcPr>
            <w:tcW w:w="175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11,6</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58,5</w:t>
            </w:r>
          </w:p>
        </w:tc>
        <w:tc>
          <w:tcPr>
            <w:tcW w:w="24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25,2</w:t>
            </w:r>
          </w:p>
        </w:tc>
        <w:tc>
          <w:tcPr>
            <w:tcW w:w="175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16,3</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56,1</w:t>
            </w:r>
          </w:p>
        </w:tc>
        <w:tc>
          <w:tcPr>
            <w:tcW w:w="24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34,4</w:t>
            </w:r>
          </w:p>
        </w:tc>
        <w:tc>
          <w:tcPr>
            <w:tcW w:w="175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9,5</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54,8</w:t>
            </w:r>
          </w:p>
        </w:tc>
        <w:tc>
          <w:tcPr>
            <w:tcW w:w="24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5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38,9</w:t>
            </w:r>
          </w:p>
        </w:tc>
        <w:tc>
          <w:tcPr>
            <w:tcW w:w="24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16,1</w:t>
            </w:r>
          </w:p>
        </w:tc>
        <w:tc>
          <w:tcPr>
            <w:tcW w:w="175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w:t>
            </w:r>
          </w:p>
        </w:tc>
      </w:tr>
      <w:tr>
        <w:trPr/>
        <w:tc>
          <w:tcPr>
            <w:tcW w:w="3304"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214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54,7</w:t>
            </w:r>
          </w:p>
        </w:tc>
        <w:tc>
          <w:tcPr>
            <w:tcW w:w="243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5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12,4</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firstLine="850" w:left="0" w:right="0"/>
        <w:contextualSpacing/>
        <w:jc w:val="both"/>
        <w:textAlignment w:val="baseline"/>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01"/>
        <w:gridCol w:w="1287"/>
        <w:gridCol w:w="1490"/>
        <w:gridCol w:w="1508"/>
        <w:gridCol w:w="2047"/>
      </w:tblGrid>
      <w:tr>
        <w:trPr/>
        <w:tc>
          <w:tcPr>
            <w:tcW w:w="330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28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Снизилось</w:t>
            </w:r>
          </w:p>
        </w:tc>
        <w:tc>
          <w:tcPr>
            <w:tcW w:w="149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Увеличилось</w:t>
            </w:r>
          </w:p>
        </w:tc>
        <w:tc>
          <w:tcPr>
            <w:tcW w:w="1508"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150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w:t>
            </w:r>
          </w:p>
        </w:tc>
        <w:tc>
          <w:tcPr>
            <w:tcW w:w="204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76,2</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6,1</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0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6,9</w:t>
            </w:r>
          </w:p>
        </w:tc>
        <w:tc>
          <w:tcPr>
            <w:tcW w:w="204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76,7</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4,6</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w:t>
            </w:r>
          </w:p>
        </w:tc>
        <w:tc>
          <w:tcPr>
            <w:tcW w:w="150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11,5</w:t>
            </w:r>
          </w:p>
        </w:tc>
        <w:tc>
          <w:tcPr>
            <w:tcW w:w="204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76,3</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4,9</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w:t>
            </w:r>
          </w:p>
        </w:tc>
        <w:tc>
          <w:tcPr>
            <w:tcW w:w="150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13,6</w:t>
            </w:r>
          </w:p>
        </w:tc>
        <w:tc>
          <w:tcPr>
            <w:tcW w:w="204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73,6</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w:t>
            </w:r>
          </w:p>
        </w:tc>
        <w:tc>
          <w:tcPr>
            <w:tcW w:w="150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204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77,5</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8,4</w:t>
            </w:r>
          </w:p>
        </w:tc>
        <w:tc>
          <w:tcPr>
            <w:tcW w:w="150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10,2</w:t>
            </w:r>
          </w:p>
        </w:tc>
        <w:tc>
          <w:tcPr>
            <w:tcW w:w="2047"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76,4</w:t>
            </w:r>
          </w:p>
        </w:tc>
      </w:tr>
    </w:tbl>
    <w:p>
      <w:pPr>
        <w:pStyle w:val="ListParagraph"/>
        <w:widowControl/>
        <w:numPr>
          <w:ilvl w:val="0"/>
          <w:numId w:val="0"/>
        </w:numPr>
        <w:tabs>
          <w:tab w:val="clear" w:pos="708"/>
          <w:tab w:val="left" w:pos="284" w:leader="none"/>
          <w:tab w:val="left" w:pos="426" w:leader="none"/>
        </w:tabs>
        <w:suppressAutoHyphens w:val="true"/>
        <w:bidi w:val="0"/>
        <w:spacing w:lineRule="auto" w:line="276" w:before="0" w:after="0"/>
        <w:ind w:hanging="0" w:left="0" w:right="0"/>
        <w:contextualSpacing/>
        <w:jc w:val="both"/>
        <w:textAlignment w:val="baseline"/>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проблемы, с которыми столкнулись представители бизнеса при взаимодействии с субъектами естественных монополий:</w:t>
      </w:r>
    </w:p>
    <w:tbl>
      <w:tblPr>
        <w:tblW w:w="9631" w:type="dxa"/>
        <w:jc w:val="left"/>
        <w:tblInd w:w="0" w:type="dxa"/>
        <w:tblLayout w:type="fixed"/>
        <w:tblCellMar>
          <w:top w:w="55" w:type="dxa"/>
          <w:left w:w="108" w:type="dxa"/>
          <w:bottom w:w="55" w:type="dxa"/>
          <w:right w:w="108" w:type="dxa"/>
        </w:tblCellMar>
      </w:tblPr>
      <w:tblGrid>
        <w:gridCol w:w="7363"/>
        <w:gridCol w:w="2267"/>
      </w:tblGrid>
      <w:tr>
        <w:trPr/>
        <w:tc>
          <w:tcPr>
            <w:tcW w:w="736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Взимание дополнительной платы</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6,0</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Навязывание дополнительных услуг</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Отказ в установке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4,3</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Проблемы с заменой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3,8</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Требование заказа необходимых работ у подконтрольных коммерческих структур</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2,4</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 с подобными проблемами</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8,2</w:t>
            </w:r>
          </w:p>
        </w:tc>
      </w:tr>
      <w:tr>
        <w:trPr/>
        <w:tc>
          <w:tcPr>
            <w:tcW w:w="736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right="0"/>
              <w:jc w:val="center"/>
              <w:rPr>
                <w:rFonts w:ascii="Times New Roman" w:hAnsi="Times New Roman" w:eastAsia="SimSun" w:cs="Times New Roman"/>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80,8</w:t>
            </w:r>
          </w:p>
        </w:tc>
      </w:tr>
    </w:tbl>
    <w:p>
      <w:pPr>
        <w:pStyle w:val="Normal"/>
        <w:tabs>
          <w:tab w:val="clear" w:pos="708"/>
          <w:tab w:val="left" w:pos="284" w:leader="none"/>
          <w:tab w:val="left" w:pos="426" w:leader="none"/>
        </w:tabs>
        <w:bidi w:val="0"/>
        <w:spacing w:lineRule="auto" w:line="276" w:before="0" w:after="0"/>
        <w:ind w:firstLine="709" w:right="0"/>
        <w:jc w:val="left"/>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Раздел 4. Административные барьеры, препятствующие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развитию малого и среднего предпринимательства.</w:t>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84" w:leader="none"/>
        </w:tabs>
        <w:bidi w:val="0"/>
        <w:spacing w:lineRule="auto" w:line="240" w:before="0" w:after="0"/>
        <w:ind w:firstLine="728"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В 2024 году в опросе мнения предпринимателей о состоянии и развитии конкурентной среды и уровне административных барьеров на региональных рынках товаров и услуг участие приняло 496 респондентов, что составляет 18,1% от общего количества зарегистрированных субъектов малого и среднего предпринимательства в районе.</w:t>
      </w:r>
    </w:p>
    <w:p>
      <w:pPr>
        <w:pStyle w:val="Normal"/>
        <w:bidi w:val="0"/>
        <w:spacing w:lineRule="auto" w:line="240" w:before="0" w:after="0"/>
        <w:jc w:val="both"/>
        <w:rPr/>
      </w:pPr>
      <w:r>
        <w:rPr>
          <w:rFonts w:cs="Times New Roman" w:ascii="Times New Roman" w:hAnsi="Times New Roman"/>
          <w:sz w:val="26"/>
          <w:szCs w:val="26"/>
        </w:rPr>
        <w:tab/>
      </w:r>
      <w:r>
        <w:rPr>
          <w:rFonts w:eastAsia="SimSun" w:cs="Times New Roman" w:ascii="Times New Roman" w:hAnsi="Times New Roman"/>
          <w:b w:val="false"/>
          <w:bCs w:val="false"/>
          <w:color w:val="00000A"/>
          <w:kern w:val="2"/>
          <w:sz w:val="28"/>
          <w:szCs w:val="28"/>
          <w:shd w:fill="FFFFFF" w:val="clear"/>
          <w:lang w:val="ru-RU" w:eastAsia="ar-SA" w:bidi="ar-SA"/>
        </w:rPr>
        <w:t xml:space="preserve">Распределение респондентов по </w:t>
      </w:r>
      <w:r>
        <w:rPr>
          <w:rFonts w:eastAsia="SimSun" w:cs="Times New Roman" w:ascii="Times New Roman" w:hAnsi="Times New Roman"/>
          <w:b w:val="false"/>
          <w:bCs w:val="false"/>
          <w:i/>
          <w:color w:val="00000A"/>
          <w:kern w:val="2"/>
          <w:sz w:val="28"/>
          <w:szCs w:val="28"/>
          <w:shd w:fill="FFFFFF" w:val="clear"/>
          <w:lang w:val="ru-RU" w:eastAsia="ar-SA" w:bidi="ar-SA"/>
        </w:rPr>
        <w:t xml:space="preserve">видам экономической деятельности </w:t>
      </w:r>
      <w:r>
        <w:rPr>
          <w:rFonts w:eastAsia="SimSun" w:cs="Times New Roman" w:ascii="Times New Roman" w:hAnsi="Times New Roman"/>
          <w:b w:val="false"/>
          <w:bCs w:val="false"/>
          <w:color w:val="00000A"/>
          <w:kern w:val="2"/>
          <w:sz w:val="28"/>
          <w:szCs w:val="28"/>
          <w:shd w:fill="FFFFFF" w:val="clear"/>
          <w:lang w:val="ru-RU" w:eastAsia="ar-SA" w:bidi="ar-SA"/>
        </w:rPr>
        <w:t>представлено в таблице.</w:t>
      </w:r>
    </w:p>
    <w:tbl>
      <w:tblPr>
        <w:tblW w:w="9639" w:type="dxa"/>
        <w:jc w:val="left"/>
        <w:tblInd w:w="-59" w:type="dxa"/>
        <w:tblLayout w:type="fixed"/>
        <w:tblCellMar>
          <w:top w:w="55" w:type="dxa"/>
          <w:left w:w="55" w:type="dxa"/>
          <w:bottom w:w="55" w:type="dxa"/>
          <w:right w:w="55" w:type="dxa"/>
        </w:tblCellMar>
      </w:tblPr>
      <w:tblGrid>
        <w:gridCol w:w="5553"/>
        <w:gridCol w:w="2350"/>
        <w:gridCol w:w="1736"/>
      </w:tblGrid>
      <w:tr>
        <w:trPr>
          <w:cantSplit w:val="true"/>
        </w:trPr>
        <w:tc>
          <w:tcPr>
            <w:tcW w:w="5553" w:type="dxa"/>
            <w:vMerge w:val="restart"/>
            <w:tcBorders>
              <w:top w:val="single" w:sz="2" w:space="0" w:color="000000"/>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Вид деятельности</w:t>
            </w:r>
          </w:p>
        </w:tc>
        <w:tc>
          <w:tcPr>
            <w:tcW w:w="4086" w:type="dxa"/>
            <w:gridSpan w:val="2"/>
            <w:tcBorders>
              <w:top w:val="single" w:sz="2" w:space="0" w:color="000000"/>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Респонденты</w:t>
            </w:r>
          </w:p>
        </w:tc>
      </w:tr>
      <w:tr>
        <w:trPr>
          <w:cantSplit w:val="true"/>
        </w:trPr>
        <w:tc>
          <w:tcPr>
            <w:tcW w:w="5553" w:type="dxa"/>
            <w:vMerge w:val="continue"/>
            <w:tcBorders>
              <w:top w:val="single" w:sz="2" w:space="0" w:color="000000"/>
              <w:left w:val="single" w:sz="2" w:space="0" w:color="000000"/>
              <w:bottom w:val="single" w:sz="2" w:space="0" w:color="000000"/>
            </w:tcBorders>
            <w:vAlign w:val="center"/>
          </w:tcPr>
          <w:p>
            <w:pPr>
              <w:pStyle w:val="Normal"/>
              <w:widowControl w:val="false"/>
              <w:bidi w:val="0"/>
              <w:snapToGrid w:val="fals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Количество</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Доля, %</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Торговля и услуги населению</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298</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60,1</w:t>
            </w:r>
          </w:p>
        </w:tc>
      </w:tr>
      <w:tr>
        <w:trPr>
          <w:cantSplit w:val="true"/>
        </w:trPr>
        <w:tc>
          <w:tcPr>
            <w:tcW w:w="5553" w:type="dxa"/>
            <w:tcBorders>
              <w:left w:val="single" w:sz="2" w:space="0" w:color="000000"/>
              <w:bottom w:val="single" w:sz="2" w:space="0" w:color="000000"/>
            </w:tcBorders>
            <w:vAlign w:val="center"/>
          </w:tcPr>
          <w:p>
            <w:pPr>
              <w:pStyle w:val="Normal"/>
              <w:widowControl w:val="false"/>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Агропромышленный комплекс</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96</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19,4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Строительство</w:t>
            </w:r>
          </w:p>
        </w:tc>
        <w:tc>
          <w:tcPr>
            <w:tcW w:w="2350" w:type="dxa"/>
            <w:tcBorders>
              <w:left w:val="single" w:sz="2" w:space="0" w:color="000000"/>
              <w:bottom w:val="single" w:sz="2" w:space="0" w:color="000000"/>
            </w:tcBorders>
            <w:vAlign w:val="center"/>
          </w:tcPr>
          <w:p>
            <w:pPr>
              <w:pStyle w:val="Normal"/>
              <w:widowControl w:val="false"/>
              <w:bidi w:val="0"/>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39</w:t>
            </w:r>
          </w:p>
        </w:tc>
        <w:tc>
          <w:tcPr>
            <w:tcW w:w="1736" w:type="dxa"/>
            <w:tcBorders>
              <w:left w:val="single" w:sz="2" w:space="0" w:color="000000"/>
              <w:bottom w:val="single" w:sz="2" w:space="0" w:color="000000"/>
              <w:right w:val="single" w:sz="2" w:space="0" w:color="000000"/>
            </w:tcBorders>
            <w:vAlign w:val="center"/>
          </w:tcPr>
          <w:p>
            <w:pPr>
              <w:pStyle w:val="Normal"/>
              <w:widowControl w:val="false"/>
              <w:bidi w:val="0"/>
              <w:spacing w:lineRule="auto" w:line="240" w:before="0" w:after="0"/>
              <w:jc w:val="center"/>
              <w:rPr>
                <w:rFonts w:ascii="Times New Roman" w:hAnsi="Times New Roman" w:eastAsia="SimSun;宋体" w:cs="Times New Roman"/>
                <w:color w:val="000000"/>
                <w:sz w:val="24"/>
                <w:szCs w:val="24"/>
                <w:lang w:val="ru-RU" w:eastAsia="zh-CN" w:bidi="hi-IN"/>
              </w:rPr>
            </w:pPr>
            <w:r>
              <w:rPr>
                <w:rFonts w:eastAsia="SimSun;宋体" w:cs="Times New Roman" w:ascii="Times New Roman" w:hAnsi="Times New Roman"/>
                <w:color w:val="000000"/>
                <w:sz w:val="24"/>
                <w:szCs w:val="24"/>
                <w:lang w:val="ru-RU" w:eastAsia="zh-CN" w:bidi="hi-IN"/>
              </w:rPr>
              <w:t>7,9</w:t>
            </w:r>
          </w:p>
        </w:tc>
      </w:tr>
      <w:tr>
        <w:trPr>
          <w:cantSplit w:val="true"/>
        </w:trPr>
        <w:tc>
          <w:tcPr>
            <w:tcW w:w="5553" w:type="dxa"/>
            <w:tcBorders>
              <w:left w:val="single" w:sz="2" w:space="0" w:color="000000"/>
              <w:bottom w:val="single" w:sz="2" w:space="0" w:color="000000"/>
            </w:tcBorders>
            <w:vAlign w:val="center"/>
          </w:tcPr>
          <w:p>
            <w:pPr>
              <w:pStyle w:val="Normal"/>
              <w:bidi w:val="0"/>
              <w:spacing w:before="0" w:after="160"/>
              <w:jc w:val="left"/>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Промышленность и добыча полезных ископаемых</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29</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5,8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Транспортный комплекс</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14</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2,8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Социальная сфера</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6</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1,2</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Здравоохранение</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4</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0,8</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ЖКХ</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3</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0,6</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Сфера образования</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2</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eastAsia="SimSun;宋体" w:cs="Times New Roman"/>
                <w:sz w:val="24"/>
                <w:szCs w:val="24"/>
                <w:lang w:val="ru-RU" w:eastAsia="zh-CN" w:bidi="hi-IN"/>
              </w:rPr>
            </w:pPr>
            <w:r>
              <w:rPr>
                <w:rFonts w:eastAsia="SimSun;宋体" w:cs="Times New Roman" w:ascii="Times New Roman" w:hAnsi="Times New Roman"/>
                <w:sz w:val="24"/>
                <w:szCs w:val="24"/>
                <w:lang w:val="ru-RU" w:eastAsia="zh-CN" w:bidi="hi-IN"/>
              </w:rPr>
              <w:t>0,4</w:t>
            </w:r>
          </w:p>
        </w:tc>
      </w:tr>
      <w:tr>
        <w:trPr>
          <w:cantSplit w:val="true"/>
        </w:trPr>
        <w:tc>
          <w:tcPr>
            <w:tcW w:w="5553" w:type="dxa"/>
            <w:tcBorders>
              <w:left w:val="single" w:sz="2" w:space="0" w:color="000000"/>
              <w:bottom w:val="single" w:sz="2" w:space="0" w:color="000000"/>
            </w:tcBorders>
            <w:vAlign w:val="center"/>
          </w:tcPr>
          <w:p>
            <w:pPr>
              <w:pStyle w:val="Normal"/>
              <w:bidi w:val="0"/>
              <w:spacing w:before="0" w:after="160"/>
              <w:jc w:val="left"/>
              <w:rPr>
                <w:rFonts w:ascii="Times New Roman" w:hAnsi="Times New Roman" w:cs="Times New Roman"/>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Санаторно-курортный комплекс</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Информационные технологии</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2</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bidi w:val="0"/>
              <w:spacing w:lineRule="auto" w:line="24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rPr>
              <w:t>Спорт</w:t>
            </w:r>
          </w:p>
        </w:tc>
        <w:tc>
          <w:tcPr>
            <w:tcW w:w="2350" w:type="dxa"/>
            <w:tcBorders>
              <w:left w:val="single" w:sz="2" w:space="0" w:color="000000"/>
              <w:bottom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736" w:type="dxa"/>
            <w:tcBorders>
              <w:left w:val="single" w:sz="2" w:space="0" w:color="000000"/>
              <w:bottom w:val="single" w:sz="2" w:space="0" w:color="000000"/>
              <w:right w:val="single" w:sz="2" w:space="0" w:color="000000"/>
            </w:tcBorders>
            <w:vAlign w:val="center"/>
          </w:tcPr>
          <w:p>
            <w:pPr>
              <w:pStyle w:val="Style24"/>
              <w:widowControl w:val="false"/>
              <w:bidi w:val="0"/>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0,2</w:t>
            </w:r>
          </w:p>
        </w:tc>
      </w:tr>
    </w:tbl>
    <w:p>
      <w:pPr>
        <w:pStyle w:val="Normal"/>
        <w:tabs>
          <w:tab w:val="clear" w:pos="708"/>
          <w:tab w:val="left" w:pos="284" w:leader="none"/>
        </w:tabs>
        <w:bidi w:val="0"/>
        <w:spacing w:lineRule="auto" w:line="240" w:before="0" w:after="0"/>
        <w:ind w:firstLine="728" w:right="0"/>
        <w:jc w:val="both"/>
        <w:rPr>
          <w:rFonts w:ascii="Times New Roman" w:hAnsi="Times New Roman" w:cs="Times New Roman"/>
          <w:color w:val="000000"/>
          <w:kern w:val="0"/>
          <w:sz w:val="26"/>
          <w:szCs w:val="26"/>
        </w:rPr>
      </w:pPr>
      <w:r>
        <w:rPr>
          <w:rFonts w:cs="Times New Roman" w:ascii="Times New Roman" w:hAnsi="Times New Roman"/>
          <w:color w:val="000000"/>
          <w:kern w:val="0"/>
          <w:sz w:val="26"/>
          <w:szCs w:val="26"/>
        </w:rPr>
      </w:r>
    </w:p>
    <w:p>
      <w:pPr>
        <w:pStyle w:val="Normal"/>
        <w:tabs>
          <w:tab w:val="clear" w:pos="708"/>
          <w:tab w:val="left" w:pos="284" w:leader="none"/>
        </w:tabs>
        <w:bidi w:val="0"/>
        <w:spacing w:lineRule="auto" w:line="240" w:before="0" w:after="0"/>
        <w:ind w:firstLine="728"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В структуре опрашиваемых, как и годом ранее, наиболее представленными являются предприниматели, занимающиеся розничной торговлей – 60,1%.</w:t>
      </w:r>
    </w:p>
    <w:p>
      <w:pPr>
        <w:pStyle w:val="Normal"/>
        <w:bidi w:val="0"/>
        <w:spacing w:lineRule="auto" w:line="240" w:before="0" w:after="0"/>
        <w:jc w:val="both"/>
        <w:rPr/>
      </w:pPr>
      <w:r>
        <w:rPr>
          <w:rFonts w:eastAsia="SimSun" w:cs="Times New Roman" w:ascii="Times New Roman" w:hAnsi="Times New Roman"/>
          <w:b w:val="false"/>
          <w:bCs w:val="false"/>
          <w:color w:val="00000A"/>
          <w:kern w:val="2"/>
          <w:sz w:val="28"/>
          <w:szCs w:val="28"/>
          <w:shd w:fill="FFFFFF" w:val="clear"/>
          <w:lang w:val="ru-RU" w:eastAsia="ar-SA" w:bidi="ar-SA"/>
        </w:rPr>
        <w:tab/>
        <w:t>Более 41% предприятий и организаций района, принявших участие в опросе, осуществляют свою деятельность на рынке более 5 лет. Свыше 30% предприятий присутствуют на рынке от 1 года до 5 лет. Менее 1 года работают 6,6% предприятий. Такая статистика говорит о том, что с одной стороны в целом на исследованных рынках существуют стабильные благоприятные условия для ведения бизнеса, с другой – что эти рынки «открыты» для входа на них новых предпринимателей и, соответственно, для развития конкуренции.</w:t>
      </w:r>
    </w:p>
    <w:p>
      <w:pPr>
        <w:pStyle w:val="Normal"/>
        <w:tabs>
          <w:tab w:val="clear" w:pos="708"/>
          <w:tab w:val="left" w:pos="284" w:leader="none"/>
        </w:tabs>
        <w:bidi w:val="0"/>
        <w:spacing w:lineRule="auto" w:line="240" w:before="0" w:after="0"/>
        <w:ind w:firstLine="709" w:right="0"/>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1184" w:leader="none"/>
        </w:tabs>
        <w:bidi w:val="0"/>
        <w:spacing w:lineRule="auto" w:line="240" w:before="0" w:after="0"/>
        <w:ind w:left="450" w:right="0"/>
        <w:contextualSpacing/>
        <w:jc w:val="center"/>
        <w:rPr>
          <w:rFonts w:ascii="Times New Roman" w:hAnsi="Times New Roman" w:cs="Times New Roman"/>
          <w:b/>
          <w:i/>
          <w:i/>
          <w:kern w:val="0"/>
          <w:sz w:val="26"/>
          <w:szCs w:val="26"/>
        </w:rPr>
      </w:pPr>
      <w:r>
        <w:rPr>
          <w:rFonts w:cs="Times New Roman" w:ascii="Times New Roman" w:hAnsi="Times New Roman"/>
          <w:b/>
          <w:i/>
          <w:kern w:val="0"/>
          <w:sz w:val="26"/>
          <w:szCs w:val="26"/>
        </w:rPr>
        <w:t>Период времени в течение которого бизнес осуществляет свою деятельность, %</w:t>
      </w:r>
    </w:p>
    <w:tbl>
      <w:tblPr>
        <w:tblW w:w="9636" w:type="dxa"/>
        <w:jc w:val="left"/>
        <w:tblInd w:w="-117" w:type="dxa"/>
        <w:tblLayout w:type="fixed"/>
        <w:tblCellMar>
          <w:top w:w="0" w:type="dxa"/>
          <w:left w:w="108" w:type="dxa"/>
          <w:bottom w:w="0" w:type="dxa"/>
          <w:right w:w="108" w:type="dxa"/>
        </w:tblCellMar>
      </w:tblPr>
      <w:tblGrid>
        <w:gridCol w:w="6123"/>
        <w:gridCol w:w="3512"/>
      </w:tblGrid>
      <w:tr>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Cs/>
                <w:kern w:val="0"/>
                <w:sz w:val="20"/>
                <w:szCs w:val="20"/>
              </w:rPr>
            </w:pPr>
            <w:r>
              <w:rPr>
                <w:rFonts w:cs="Times New Roman" w:ascii="Times New Roman" w:hAnsi="Times New Roman"/>
                <w:b/>
                <w:bCs/>
                <w:kern w:val="0"/>
                <w:sz w:val="20"/>
                <w:szCs w:val="20"/>
              </w:rPr>
              <w:t>Период времени</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b/>
                <w:bCs/>
                <w:kern w:val="0"/>
                <w:sz w:val="20"/>
                <w:szCs w:val="20"/>
              </w:rPr>
            </w:pPr>
            <w:r>
              <w:rPr>
                <w:rFonts w:cs="Times New Roman" w:ascii="Times New Roman" w:hAnsi="Times New Roman"/>
                <w:b/>
                <w:bCs/>
                <w:kern w:val="0"/>
                <w:sz w:val="20"/>
                <w:szCs w:val="20"/>
              </w:rPr>
              <w:t>%</w:t>
            </w:r>
          </w:p>
        </w:tc>
      </w:tr>
      <w:tr>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Менее 1 года</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6,6</w:t>
            </w:r>
          </w:p>
        </w:tc>
      </w:tr>
      <w:tr>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От 1 года до 5 лет</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30,8</w:t>
            </w:r>
          </w:p>
        </w:tc>
      </w:tr>
      <w:tr>
        <w:trPr>
          <w:trHeight w:val="70" w:hRule="atLeast"/>
        </w:trPr>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left"/>
              <w:rPr>
                <w:rFonts w:ascii="Times New Roman" w:hAnsi="Times New Roman" w:cs="Times New Roman"/>
                <w:kern w:val="0"/>
                <w:sz w:val="20"/>
                <w:szCs w:val="20"/>
              </w:rPr>
            </w:pPr>
            <w:r>
              <w:rPr>
                <w:rFonts w:cs="Times New Roman" w:ascii="Times New Roman" w:hAnsi="Times New Roman"/>
                <w:kern w:val="0"/>
                <w:sz w:val="20"/>
                <w:szCs w:val="20"/>
              </w:rPr>
              <w:t>Более 5 лет</w:t>
            </w:r>
          </w:p>
        </w:tc>
        <w:tc>
          <w:tcPr>
            <w:tcW w:w="3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bidi w:val="0"/>
              <w:spacing w:lineRule="auto" w:line="240" w:before="0" w:after="0"/>
              <w:jc w:val="center"/>
              <w:rPr>
                <w:rFonts w:ascii="Times New Roman" w:hAnsi="Times New Roman" w:cs="Times New Roman"/>
                <w:kern w:val="0"/>
                <w:sz w:val="20"/>
                <w:szCs w:val="20"/>
              </w:rPr>
            </w:pPr>
            <w:r>
              <w:rPr>
                <w:rFonts w:cs="Times New Roman" w:ascii="Times New Roman" w:hAnsi="Times New Roman"/>
                <w:kern w:val="0"/>
                <w:sz w:val="20"/>
                <w:szCs w:val="20"/>
              </w:rPr>
              <w:t>41,1</w:t>
            </w:r>
          </w:p>
        </w:tc>
      </w:tr>
    </w:tbl>
    <w:p>
      <w:pPr>
        <w:pStyle w:val="Normal"/>
        <w:tabs>
          <w:tab w:val="clear" w:pos="708"/>
          <w:tab w:val="left" w:pos="284" w:leader="none"/>
        </w:tabs>
        <w:bidi w:val="0"/>
        <w:spacing w:lineRule="auto" w:line="240" w:before="0" w:after="0"/>
        <w:ind w:firstLine="728" w:right="0"/>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 xml:space="preserve">Исходя из таких параметров как численность сотрудников и величина годового оборота, в опросе преимущественно приняли участие микропредприятия (97,1% респондентов). 1,4% респондентов – малые предприятия. Крупные предприятия составили лишь — 0,8% опрошенных. </w:t>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На вопрос: «Какой географический рынок (рынки) является основным для бизнеса, который Вы представляете?» установлено, что основная часть респондентов работают на локальных рынках муниципального образования (69%), почти треть опрошенных присутствуют на рынках Краснодарского края (27,4%), всего 4,4% опрошенных имеют доступ к выходу на рынки нескольких субъектов Российской Федерации, при этом лишь 1% респондентов имеют выход на рынки Российской Федерации.</w:t>
      </w:r>
    </w:p>
    <w:p>
      <w:pPr>
        <w:pStyle w:val="Normal"/>
        <w:bidi w:val="0"/>
        <w:spacing w:lineRule="auto" w:line="240" w:before="0" w:after="0"/>
        <w:ind w:firstLine="708" w:right="0"/>
        <w:jc w:val="both"/>
        <w:rPr>
          <w:rFonts w:ascii="Times New Roman" w:hAnsi="Times New Roman" w:eastAsia="SimSun" w:cs="Times New Roman"/>
          <w:b w:val="false"/>
          <w:bCs w:val="false"/>
          <w:color w:val="00000A"/>
          <w:kern w:val="2"/>
          <w:sz w:val="28"/>
          <w:szCs w:val="28"/>
          <w:shd w:fill="FFFFFF" w:val="clear"/>
          <w:lang w:val="ru-RU" w:eastAsia="ar-SA" w:bidi="ar-SA"/>
        </w:rPr>
      </w:pPr>
      <w:r>
        <w:rPr>
          <w:rFonts w:eastAsia="SimSun" w:cs="Times New Roman" w:ascii="Times New Roman" w:hAnsi="Times New Roman"/>
          <w:b w:val="false"/>
          <w:bCs w:val="false"/>
          <w:color w:val="00000A"/>
          <w:kern w:val="2"/>
          <w:sz w:val="28"/>
          <w:szCs w:val="28"/>
          <w:shd w:fill="FFFFFF" w:val="clear"/>
          <w:lang w:val="ru-RU" w:eastAsia="ar-SA" w:bidi="ar-SA"/>
        </w:rPr>
        <w:t>Необходимо отметить, что ключевым фактором развития бизнеса является изменение числа конкурентов на рынке, поскольку именно увеличение числа конкурентов стимулируют субъектов предпринимательской деятельности применять меры по повышению конкурентоспособности своих товаров с целью удержания конкурентных преимуществ на рынке. Так, респондентам – субъектам предпринимательства предлагалось ответить на вопрос: «Как изменилось число конкурентов бизнеса, который вы  представляете на основном рынке товаров и услуг за последние 3 года?».  Ниже приведено распределение ответов респондентов в процентах к общему количеству опрошенных:</w:t>
      </w:r>
    </w:p>
    <w:p>
      <w:pPr>
        <w:pStyle w:val="Normal"/>
        <w:bidi w:val="0"/>
        <w:spacing w:lineRule="auto" w:line="240" w:before="0" w:after="0"/>
        <w:ind w:firstLine="708" w:right="0"/>
        <w:jc w:val="both"/>
        <w:rPr>
          <w:rFonts w:ascii="Times New Roman" w:hAnsi="Times New Roman" w:cs="Times New Roman"/>
          <w:sz w:val="26"/>
          <w:szCs w:val="26"/>
        </w:rPr>
      </w:pPr>
      <w:r>
        <w:rPr>
          <w:rFonts w:cs="Times New Roman" w:ascii="Times New Roman" w:hAnsi="Times New Roman"/>
          <w:sz w:val="26"/>
          <w:szCs w:val="26"/>
        </w:rPr>
      </w:r>
    </w:p>
    <w:tbl>
      <w:tblPr>
        <w:tblW w:w="9573" w:type="dxa"/>
        <w:jc w:val="left"/>
        <w:tblInd w:w="-41" w:type="dxa"/>
        <w:tblLayout w:type="fixed"/>
        <w:tblCellMar>
          <w:top w:w="0" w:type="dxa"/>
          <w:left w:w="108" w:type="dxa"/>
          <w:bottom w:w="0" w:type="dxa"/>
          <w:right w:w="108" w:type="dxa"/>
        </w:tblCellMar>
      </w:tblPr>
      <w:tblGrid>
        <w:gridCol w:w="7011"/>
        <w:gridCol w:w="2561"/>
      </w:tblGrid>
      <w:tr>
        <w:trPr/>
        <w:tc>
          <w:tcPr>
            <w:tcW w:w="7011" w:type="dxa"/>
            <w:tcBorders>
              <w:top w:val="single" w:sz="2" w:space="0" w:color="000000"/>
              <w:left w:val="single" w:sz="2" w:space="0" w:color="000000"/>
              <w:bottom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Увеличилось более чем на 4 конкурента</w:t>
            </w:r>
          </w:p>
        </w:tc>
        <w:tc>
          <w:tcPr>
            <w:tcW w:w="2561" w:type="dxa"/>
            <w:tcBorders>
              <w:top w:val="single" w:sz="2" w:space="0" w:color="000000"/>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285</w:t>
            </w:r>
          </w:p>
        </w:tc>
      </w:tr>
      <w:tr>
        <w:trPr/>
        <w:tc>
          <w:tcPr>
            <w:tcW w:w="7011" w:type="dxa"/>
            <w:tcBorders>
              <w:left w:val="single" w:sz="2" w:space="0" w:color="000000"/>
              <w:bottom w:val="single" w:sz="2" w:space="0" w:color="000000"/>
            </w:tcBorders>
            <w:vAlign w:val="center"/>
          </w:tcPr>
          <w:p>
            <w:pPr>
              <w:pStyle w:val="Normal"/>
              <w:widowControl w:val="false"/>
              <w:tabs>
                <w:tab w:val="clear" w:pos="708"/>
                <w:tab w:val="left" w:pos="284" w:leader="none"/>
                <w:tab w:val="left" w:pos="426" w:leader="none"/>
              </w:tabs>
              <w:suppressAutoHyphens w:val="true"/>
              <w:bidi w:val="0"/>
              <w:spacing w:lineRule="auto" w:line="240" w:before="0" w:after="0"/>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Увеличилось на 1-3 конкурента</w:t>
            </w:r>
          </w:p>
        </w:tc>
        <w:tc>
          <w:tcPr>
            <w:tcW w:w="2561" w:type="dxa"/>
            <w:tcBorders>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204</w:t>
            </w:r>
          </w:p>
        </w:tc>
      </w:tr>
      <w:tr>
        <w:trPr/>
        <w:tc>
          <w:tcPr>
            <w:tcW w:w="7011" w:type="dxa"/>
            <w:tcBorders>
              <w:left w:val="single" w:sz="2" w:space="0" w:color="000000"/>
              <w:bottom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Сократилось на 1-3 конкурента</w:t>
            </w:r>
          </w:p>
        </w:tc>
        <w:tc>
          <w:tcPr>
            <w:tcW w:w="2561" w:type="dxa"/>
            <w:tcBorders>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5</w:t>
            </w:r>
          </w:p>
        </w:tc>
      </w:tr>
      <w:tr>
        <w:trPr/>
        <w:tc>
          <w:tcPr>
            <w:tcW w:w="7011" w:type="dxa"/>
            <w:tcBorders>
              <w:left w:val="single" w:sz="2" w:space="0" w:color="000000"/>
              <w:bottom w:val="single" w:sz="2" w:space="0" w:color="000000"/>
            </w:tcBorders>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left"/>
              <w:rPr>
                <w:rFonts w:ascii="Times New Roman" w:hAnsi="Times New Roman" w:cs="Times New Roman"/>
                <w:kern w:val="0"/>
                <w:sz w:val="24"/>
                <w:szCs w:val="24"/>
                <w:lang w:val="ru-RU" w:bidi="ar-SA"/>
              </w:rPr>
            </w:pPr>
            <w:r>
              <w:rPr>
                <w:rFonts w:cs="Times New Roman" w:ascii="Times New Roman" w:hAnsi="Times New Roman"/>
                <w:kern w:val="0"/>
                <w:sz w:val="24"/>
                <w:szCs w:val="24"/>
                <w:lang w:val="ru-RU" w:bidi="ar-SA"/>
              </w:rPr>
              <w:t>Сократилось более чем на 4 конкурента</w:t>
            </w:r>
          </w:p>
        </w:tc>
        <w:tc>
          <w:tcPr>
            <w:tcW w:w="2561" w:type="dxa"/>
            <w:tcBorders>
              <w:left w:val="single" w:sz="2" w:space="0" w:color="000000"/>
              <w:bottom w:val="single" w:sz="2" w:space="0" w:color="000000"/>
              <w:right w:val="single" w:sz="2" w:space="0" w:color="000000"/>
            </w:tcBorders>
            <w:vAlign w:val="center"/>
          </w:tcPr>
          <w:p>
            <w:pPr>
              <w:pStyle w:val="ListParagraph"/>
              <w:widowControl w:val="false"/>
              <w:tabs>
                <w:tab w:val="clear" w:pos="708"/>
                <w:tab w:val="left" w:pos="284" w:leader="none"/>
                <w:tab w:val="left" w:pos="426" w:leader="none"/>
              </w:tabs>
              <w:suppressAutoHyphens w:val="true"/>
              <w:bidi w:val="0"/>
              <w:spacing w:lineRule="auto" w:line="240" w:before="0" w:after="0"/>
              <w:ind w:left="0" w:right="0"/>
              <w:contextualSpacing/>
              <w:jc w:val="center"/>
              <w:rPr>
                <w:rFonts w:ascii="Times New Roman" w:hAnsi="Times New Roman" w:cs="Times New Roman"/>
                <w:sz w:val="24"/>
                <w:szCs w:val="24"/>
                <w:lang w:val="ru-RU" w:bidi="ar-SA"/>
              </w:rPr>
            </w:pPr>
            <w:r>
              <w:rPr>
                <w:rFonts w:cs="Times New Roman" w:ascii="Times New Roman" w:hAnsi="Times New Roman"/>
                <w:sz w:val="24"/>
                <w:szCs w:val="24"/>
                <w:lang w:val="ru-RU" w:bidi="ar-SA"/>
              </w:rPr>
              <w:t>2</w:t>
            </w:r>
          </w:p>
        </w:tc>
      </w:tr>
    </w:tbl>
    <w:p>
      <w:pPr>
        <w:pStyle w:val="Normal"/>
        <w:bidi w:val="0"/>
        <w:spacing w:lineRule="auto" w:line="240" w:before="0" w:after="0"/>
        <w:ind w:firstLine="708" w:right="0"/>
        <w:jc w:val="both"/>
        <w:rPr/>
      </w:pPr>
      <w:r>
        <w:rPr/>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Также, предприниматели дали оценку тому, как в 2024 году на их предприятии изменилась производительность труда в результате использования ими цифровых технологий (сравните объем работ, выполняемых одним сотрудником до реализации проектов в сфере цифровизации с объемом работ после внедрения проектов в сфере цифровизации).</w:t>
      </w:r>
    </w:p>
    <w:p>
      <w:pPr>
        <w:pStyle w:val="Normal"/>
        <w:bidi w:val="0"/>
        <w:spacing w:lineRule="auto" w:line="240" w:before="0" w:after="0"/>
        <w:ind w:firstLine="709" w:right="0"/>
        <w:jc w:val="both"/>
        <w:rPr/>
      </w:pPr>
      <w:r>
        <w:rPr>
          <w:rFonts w:eastAsia="SimSun" w:cs="Times New Roman" w:ascii="Times New Roman" w:hAnsi="Times New Roman"/>
          <w:b w:val="false"/>
          <w:bCs w:val="false"/>
          <w:color w:val="00000A"/>
          <w:kern w:val="2"/>
          <w:sz w:val="28"/>
          <w:szCs w:val="28"/>
          <w:shd w:fill="FFFFFF" w:val="clear"/>
          <w:lang w:val="ru-RU" w:eastAsia="ar-SA" w:bidi="ar-SA"/>
        </w:rPr>
        <w:t>В итоге, на вопрос изменения «</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Уровня производительности труда» 21,6% респондентов отметили, что уровень производительности труда на их предприятии увеличился. У 10,7% респондентов уровень производительности труда не изменился и лишь 0,6% респондентов сообщили о снижении уровня производительности труда. Следует отметить, что 67% опрошенных не использовали в 2024 году ни одну технологию. </w:t>
      </w:r>
    </w:p>
    <w:p>
      <w:pPr>
        <w:pStyle w:val="Normal"/>
        <w:bidi w:val="0"/>
        <w:spacing w:lineRule="auto" w:line="240" w:before="0" w:after="0"/>
        <w:ind w:firstLine="709"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Оценили респонденты и доступность государственной поддержки бизнеса, где 14,1% заявили о том, что для получения поддержки необходимо приложить значительные усилия и только 2,4% опрошенных считают, что при необходимости поддержку можно легко получить. 83,2% - затруднились ответить на данный вопрос.</w:t>
      </w:r>
    </w:p>
    <w:p>
      <w:pPr>
        <w:pStyle w:val="Normal"/>
        <w:bidi w:val="0"/>
        <w:spacing w:lineRule="auto" w:line="240" w:before="0" w:after="0"/>
        <w:ind w:firstLine="709"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По мнению респондентов наиболее значимыми для ведения предпринимательской деятельности остаются барьеры, связанные с </w:t>
      </w:r>
      <w:r>
        <w:rPr>
          <w:rFonts w:cs="Times New Roman" w:ascii="Times New Roman" w:hAnsi="Times New Roman"/>
          <w:b w:val="false"/>
          <w:i w:val="false"/>
          <w:strike w:val="false"/>
          <w:dstrike w:val="false"/>
          <w:outline w:val="false"/>
          <w:shadow w:val="false"/>
          <w:color w:val="000000"/>
          <w:sz w:val="28"/>
          <w:szCs w:val="28"/>
          <w:u w:val="none"/>
          <w:em w:val="none"/>
        </w:rPr>
        <w:t xml:space="preserve"> технологическим присоединением к объектам электросетевого хозяйства (46%)</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контролем и надзором за текущей предпринимательской деятельностью (41,3%) высокими налогами (29,8%) и доступом к финансовым ресурсам (18,5%).</w:t>
      </w:r>
    </w:p>
    <w:p>
      <w:pPr>
        <w:pStyle w:val="Normal"/>
        <w:widowControl/>
        <w:suppressAutoHyphens w:val="true"/>
        <w:bidi w:val="0"/>
        <w:spacing w:lineRule="auto" w:line="240" w:before="0" w:after="0"/>
        <w:ind w:right="0"/>
        <w:jc w:val="both"/>
        <w:rPr>
          <w:rFonts w:ascii="Times New Roman" w:hAnsi="Times New Roman" w:eastAsia="SimSun" w:cs="Times New Roman"/>
          <w:b w:val="false"/>
          <w:bCs w:val="false"/>
          <w:i w:val="false"/>
          <w:i w:val="false"/>
          <w:strike w:val="false"/>
          <w:dstrike w:val="false"/>
          <w:outline w:val="false"/>
          <w:shadow w:val="false"/>
          <w:color w:val="00000A"/>
          <w:kern w:val="2"/>
          <w:sz w:val="28"/>
          <w:szCs w:val="28"/>
          <w:u w:val="none"/>
          <w:shd w:fill="FFFFFF" w:val="clear"/>
          <w:em w:val="none"/>
          <w:lang w:val="ru-RU" w:eastAsia="ar-SA" w:bidi="ar-SA"/>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Респондентам предлагалось ответить на вопрос: «По Вашей оценке как изменился уровень административных барьеров на рынке, основном для бизнеса, который Вы представляете, в течение последних 3 лет?».</w:t>
      </w:r>
    </w:p>
    <w:p>
      <w:pPr>
        <w:pStyle w:val="Normal"/>
        <w:widowControl/>
        <w:suppressAutoHyphens w:val="true"/>
        <w:bidi w:val="0"/>
        <w:spacing w:lineRule="auto" w:line="240" w:before="0" w:after="0"/>
        <w:ind w:right="0"/>
        <w:jc w:val="both"/>
        <w:rPr/>
      </w:pP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ab/>
        <w:t>Из полученных ответов следует, что 16,1% респондентов утверждают, что бизнесу стало проще преодолевать существующие барьеры, 18,3% считают, что а</w:t>
      </w:r>
      <w:r>
        <w:rPr>
          <w:rFonts w:eastAsia="SimSun" w:cs="Times New Roman" w:ascii="Times New Roman" w:hAnsi="Times New Roman"/>
          <w:b w:val="false"/>
          <w:bCs w:val="false"/>
          <w:i w:val="false"/>
          <w:strike w:val="false"/>
          <w:dstrike w:val="false"/>
          <w:outline w:val="false"/>
          <w:shadow w:val="false"/>
          <w:color w:val="00000A"/>
          <w:kern w:val="0"/>
          <w:sz w:val="28"/>
          <w:szCs w:val="28"/>
          <w:u w:val="none"/>
          <w:shd w:fill="FFFFFF" w:val="clear"/>
          <w:em w:val="none"/>
          <w:lang w:val="ru-RU" w:eastAsia="ar-SA" w:bidi="ar-SA"/>
        </w:rPr>
        <w:t>дминистративные барьеры отсутствуют, как и ранее. 11,6% опрошенных уверяют о</w:t>
      </w:r>
      <w:r>
        <w:rPr>
          <w:rFonts w:eastAsia="SimSun" w:cs="Times New Roman" w:ascii="Times New Roman" w:hAnsi="Times New Roman"/>
          <w:b w:val="false"/>
          <w:bCs w:val="false"/>
          <w:i w:val="false"/>
          <w:strike w:val="false"/>
          <w:dstrike w:val="false"/>
          <w:outline w:val="false"/>
          <w:shadow w:val="false"/>
          <w:color w:val="00000A"/>
          <w:kern w:val="2"/>
          <w:sz w:val="28"/>
          <w:szCs w:val="28"/>
          <w:u w:val="none"/>
          <w:shd w:fill="FFFFFF" w:val="clear"/>
          <w:em w:val="none"/>
          <w:lang w:val="ru-RU" w:eastAsia="ar-SA" w:bidi="ar-SA"/>
        </w:rPr>
        <w:t xml:space="preserve"> полном устранении административных. </w:t>
      </w:r>
    </w:p>
    <w:p>
      <w:pPr>
        <w:pStyle w:val="Normal"/>
        <w:widowControl/>
        <w:suppressAutoHyphens w:val="true"/>
        <w:bidi w:val="0"/>
        <w:spacing w:lineRule="auto" w:line="240" w:before="0" w:after="0"/>
        <w:ind w:right="0"/>
        <w:jc w:val="both"/>
        <w:rPr/>
      </w:pPr>
      <w:r>
        <w:rPr/>
      </w:r>
    </w:p>
    <w:tbl>
      <w:tblPr>
        <w:tblW w:w="9638" w:type="dxa"/>
        <w:jc w:val="left"/>
        <w:tblInd w:w="-5" w:type="dxa"/>
        <w:tblLayout w:type="fixed"/>
        <w:tblCellMar>
          <w:top w:w="0" w:type="dxa"/>
          <w:left w:w="108" w:type="dxa"/>
          <w:bottom w:w="0" w:type="dxa"/>
          <w:right w:w="108" w:type="dxa"/>
        </w:tblCellMar>
      </w:tblPr>
      <w:tblGrid>
        <w:gridCol w:w="7715"/>
        <w:gridCol w:w="1922"/>
      </w:tblGrid>
      <w:tr>
        <w:trPr/>
        <w:tc>
          <w:tcPr>
            <w:tcW w:w="7715" w:type="dxa"/>
            <w:tcBorders>
              <w:top w:val="single" w:sz="4" w:space="0" w:color="000000"/>
              <w:left w:val="single" w:sz="4" w:space="0" w:color="000000"/>
              <w:bottom w:val="single" w:sz="4" w:space="0" w:color="000000"/>
            </w:tcBorders>
            <w:vAlign w:val="center"/>
          </w:tcPr>
          <w:p>
            <w:pPr>
              <w:pStyle w:val="Normal"/>
              <w:widowControl/>
              <w:tabs>
                <w:tab w:val="clear" w:pos="708"/>
                <w:tab w:val="left" w:pos="284"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Ранее административные барьеры отсутствовали, однако сейчас появились</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left" w:pos="284"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1</w:t>
            </w:r>
          </w:p>
        </w:tc>
      </w:tr>
      <w:tr>
        <w:trPr/>
        <w:tc>
          <w:tcPr>
            <w:tcW w:w="7715"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Бизнесу стало сложнее преодолевать административные барьеры, чем раньше</w:t>
            </w:r>
          </w:p>
        </w:tc>
        <w:tc>
          <w:tcPr>
            <w:tcW w:w="1922"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12</w:t>
            </w:r>
          </w:p>
        </w:tc>
      </w:tr>
      <w:tr>
        <w:trPr/>
        <w:tc>
          <w:tcPr>
            <w:tcW w:w="7715"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Уровень и количество административных барьеров не изменились</w:t>
            </w:r>
          </w:p>
        </w:tc>
        <w:tc>
          <w:tcPr>
            <w:tcW w:w="1922"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28</w:t>
            </w:r>
          </w:p>
        </w:tc>
      </w:tr>
      <w:tr>
        <w:trPr/>
        <w:tc>
          <w:tcPr>
            <w:tcW w:w="7715"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Административные барьеры были полностью устранены</w:t>
            </w:r>
          </w:p>
        </w:tc>
        <w:tc>
          <w:tcPr>
            <w:tcW w:w="1922"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58</w:t>
            </w:r>
          </w:p>
        </w:tc>
      </w:tr>
      <w:tr>
        <w:trPr>
          <w:trHeight w:val="162" w:hRule="atLeast"/>
        </w:trPr>
        <w:tc>
          <w:tcPr>
            <w:tcW w:w="7715" w:type="dxa"/>
            <w:tcBorders>
              <w:top w:val="single" w:sz="4" w:space="0" w:color="000000"/>
              <w:left w:val="single" w:sz="4" w:space="0" w:color="000000"/>
              <w:bottom w:val="single" w:sz="4" w:space="0" w:color="000000"/>
            </w:tcBorders>
            <w:vAlign w:val="center"/>
          </w:tcPr>
          <w:p>
            <w:pPr>
              <w:pStyle w:val="Normal"/>
              <w:widowControl/>
              <w:tabs>
                <w:tab w:val="clear" w:pos="708"/>
                <w:tab w:val="left" w:pos="284"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Бизнесу стало проще преодолевать административные барьеры, чем раньше</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left" w:pos="284"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80</w:t>
            </w:r>
          </w:p>
        </w:tc>
      </w:tr>
      <w:tr>
        <w:trPr>
          <w:trHeight w:val="162" w:hRule="atLeast"/>
        </w:trPr>
        <w:tc>
          <w:tcPr>
            <w:tcW w:w="7715" w:type="dxa"/>
            <w:tcBorders>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Административные барьеры отсутствуют, как и ранее</w:t>
            </w:r>
          </w:p>
        </w:tc>
        <w:tc>
          <w:tcPr>
            <w:tcW w:w="1922" w:type="dxa"/>
            <w:tcBorders>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91</w:t>
            </w:r>
          </w:p>
        </w:tc>
      </w:tr>
      <w:tr>
        <w:trPr>
          <w:trHeight w:val="162" w:hRule="atLeast"/>
        </w:trPr>
        <w:tc>
          <w:tcPr>
            <w:tcW w:w="7715" w:type="dxa"/>
            <w:tcBorders>
              <w:top w:val="single" w:sz="4" w:space="0" w:color="000000"/>
              <w:left w:val="single" w:sz="4" w:space="0" w:color="000000"/>
              <w:bottom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left"/>
              <w:rPr>
                <w:rFonts w:ascii="Times New Roman" w:hAnsi="Times New Roman" w:cs="Times New Roman"/>
                <w:kern w:val="0"/>
                <w:sz w:val="22"/>
                <w:szCs w:val="22"/>
                <w:lang w:val="ru-RU" w:bidi="ar-SA"/>
              </w:rPr>
            </w:pPr>
            <w:r>
              <w:rPr>
                <w:rFonts w:cs="Times New Roman" w:ascii="Times New Roman" w:hAnsi="Times New Roman"/>
                <w:kern w:val="0"/>
                <w:sz w:val="22"/>
                <w:szCs w:val="22"/>
                <w:lang w:val="ru-RU" w:bidi="ar-SA"/>
              </w:rPr>
              <w:t>Затрудняюсь ответить</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tabs>
                <w:tab w:val="clear" w:pos="708"/>
                <w:tab w:val="left" w:pos="284" w:leader="none"/>
                <w:tab w:val="left" w:pos="426" w:leader="none"/>
              </w:tabs>
              <w:bidi w:val="0"/>
              <w:spacing w:lineRule="auto" w:line="276" w:before="0" w:after="0"/>
              <w:ind w:right="0"/>
              <w:jc w:val="center"/>
              <w:rPr>
                <w:rFonts w:ascii="Times New Roman" w:hAnsi="Times New Roman" w:cs="Times New Roman"/>
                <w:b w:val="false"/>
                <w:bCs w:val="false"/>
                <w:kern w:val="0"/>
                <w:sz w:val="24"/>
                <w:szCs w:val="24"/>
                <w:lang w:val="ru-RU" w:bidi="ar-SA"/>
              </w:rPr>
            </w:pPr>
            <w:r>
              <w:rPr>
                <w:rFonts w:cs="Times New Roman" w:ascii="Times New Roman" w:hAnsi="Times New Roman"/>
                <w:b w:val="false"/>
                <w:bCs w:val="false"/>
                <w:kern w:val="0"/>
                <w:sz w:val="24"/>
                <w:szCs w:val="24"/>
                <w:lang w:val="ru-RU" w:bidi="ar-SA"/>
              </w:rPr>
              <w:t>226</w:t>
            </w:r>
          </w:p>
        </w:tc>
      </w:tr>
    </w:tbl>
    <w:p>
      <w:pPr>
        <w:pStyle w:val="Normal"/>
        <w:suppressAutoHyphens w:val="true"/>
        <w:bidi w:val="0"/>
        <w:spacing w:lineRule="auto" w:line="240" w:before="0" w:after="0"/>
        <w:ind w:right="0"/>
        <w:jc w:val="both"/>
        <w:rPr/>
      </w:pPr>
      <w:r>
        <w:rPr/>
      </w:r>
    </w:p>
    <w:p>
      <w:pPr>
        <w:pStyle w:val="Normal"/>
        <w:suppressAutoHyphens w:val="true"/>
        <w:bidi w:val="0"/>
        <w:spacing w:lineRule="auto" w:line="240" w:before="0" w:after="0"/>
        <w:ind w:right="0"/>
        <w:jc w:val="both"/>
        <w:rPr>
          <w:rFonts w:ascii="Times New Roman" w:hAnsi="Times New Roman" w:eastAsia="SimSun" w:cs="Times New Roman"/>
          <w:b w:val="false"/>
          <w:bCs w:val="false"/>
          <w:i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pPr>
      <w:r>
        <w:rPr>
          <w:rFonts w:eastAsia="SimSun" w:cs="Times New Roman" w:ascii="Times New Roman" w:hAnsi="Times New Roman"/>
          <w:b w:val="false"/>
          <w:bCs w:val="false"/>
          <w:i w:val="false"/>
          <w:caps w:val="false"/>
          <w:smallCaps w:val="false"/>
          <w:strike w:val="false"/>
          <w:dstrike w:val="false"/>
          <w:outline w:val="false"/>
          <w:shadow w:val="false"/>
          <w:color w:val="00000A"/>
          <w:spacing w:val="0"/>
          <w:kern w:val="2"/>
          <w:sz w:val="28"/>
          <w:szCs w:val="28"/>
          <w:u w:val="none"/>
          <w:shd w:fill="FFFFFF" w:val="clear"/>
          <w:em w:val="none"/>
          <w:lang w:val="ru-RU" w:eastAsia="ar-SA" w:bidi="ar-SA"/>
        </w:rPr>
        <w:tab/>
      </w:r>
    </w:p>
    <w:sectPr>
      <w:headerReference w:type="default" r:id="rId12"/>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NewRomanPSMT">
    <w:charset w:val="cc"/>
    <w:family w:val="roman"/>
    <w:pitch w:val="variable"/>
  </w:font>
  <w:font w:name="serif">
    <w:altName w:val="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45</w:t>
    </w:r>
    <w:r>
      <w:rPr/>
      <w:fldChar w:fldCharType="end"/>
    </w:r>
  </w:p>
  <w:p>
    <w:pPr>
      <w:pStyle w:val="Header"/>
      <w:rPr/>
    </w:pPr>
    <w:r>
      <w:rPr/>
    </w:r>
  </w:p>
</w:hdr>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21d0"/>
    <w:pPr>
      <w:widowControl/>
      <w:suppressAutoHyphens w:val="true"/>
      <w:bidi w:val="0"/>
      <w:spacing w:lineRule="auto" w:line="252" w:before="0" w:after="160"/>
      <w:jc w:val="left"/>
      <w:textAlignment w:val="baseline"/>
    </w:pPr>
    <w:rPr>
      <w:rFonts w:ascii="Calibri" w:hAnsi="Calibri" w:eastAsia="SimSun" w:cs="Calibri" w:asciiTheme="minorHAnsi" w:hAnsiTheme="minorHAnsi"/>
      <w:color w:val="auto"/>
      <w:kern w:val="2"/>
      <w:sz w:val="22"/>
      <w:szCs w:val="22"/>
      <w:lang w:val="ru-RU" w:eastAsia="ar-S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fe21d0"/>
    <w:rPr/>
  </w:style>
  <w:style w:type="character" w:styleId="Style14" w:customStyle="1">
    <w:name w:val="Текст выноски Знак"/>
    <w:basedOn w:val="DefaultParagraphFont"/>
    <w:link w:val="BalloonText"/>
    <w:uiPriority w:val="99"/>
    <w:semiHidden/>
    <w:qFormat/>
    <w:rsid w:val="009f210a"/>
    <w:rPr>
      <w:rFonts w:ascii="Segoe UI" w:hAnsi="Segoe UI" w:eastAsia="SimSun" w:cs="Segoe UI"/>
      <w:kern w:val="2"/>
      <w:sz w:val="18"/>
      <w:szCs w:val="18"/>
      <w:lang w:eastAsia="ar-SA"/>
    </w:rPr>
  </w:style>
  <w:style w:type="character" w:styleId="Style15" w:customStyle="1">
    <w:name w:val="Верхний колонтитул Знак"/>
    <w:basedOn w:val="DefaultParagraphFont"/>
    <w:uiPriority w:val="99"/>
    <w:qFormat/>
    <w:rsid w:val="007163e6"/>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uiPriority w:val="99"/>
    <w:qFormat/>
    <w:rsid w:val="00354b64"/>
    <w:rPr>
      <w:rFonts w:ascii="Calibri" w:hAnsi="Calibri" w:eastAsia="SimSun" w:cs="Calibri"/>
      <w:kern w:val="2"/>
      <w:lang w:eastAsia="ar-SA"/>
    </w:rPr>
  </w:style>
  <w:style w:type="character" w:styleId="Style17" w:customStyle="1">
    <w:name w:val="Текст сноски Знак"/>
    <w:basedOn w:val="DefaultParagraphFont"/>
    <w:uiPriority w:val="99"/>
    <w:qFormat/>
    <w:rsid w:val="00014e0f"/>
    <w:rPr>
      <w:sz w:val="20"/>
      <w:szCs w:val="20"/>
    </w:rPr>
  </w:style>
  <w:style w:type="character" w:styleId="Style18">
    <w:name w:val="Выделение жирным"/>
    <w:qFormat/>
    <w:rPr>
      <w:b/>
      <w:bCs/>
    </w:rPr>
  </w:style>
  <w:style w:type="character" w:styleId="DefaultParagraphFont1">
    <w:name w:val="Default Paragraph Font1"/>
    <w:qFormat/>
    <w:rPr/>
  </w:style>
  <w:style w:type="character" w:styleId="FontStyle36">
    <w:name w:val="Font Style36"/>
    <w:basedOn w:val="DefaultParagraphFont1"/>
    <w:qFormat/>
    <w:rPr>
      <w:rFonts w:ascii="Times New Roman" w:hAnsi="Times New Roman" w:cs="Times New Roman"/>
      <w:sz w:val="26"/>
    </w:rPr>
  </w:style>
  <w:style w:type="character" w:styleId="4">
    <w:name w:val="Основной шрифт абзаца4"/>
    <w:qFormat/>
    <w:rPr/>
  </w:style>
  <w:style w:type="character" w:styleId="Style19">
    <w:name w:val="Гипертекстовая ссылка"/>
    <w:basedOn w:val="4"/>
    <w:qFormat/>
    <w:rPr>
      <w:b w:val="false"/>
      <w:color w:val="106BBE"/>
    </w:rPr>
  </w:style>
  <w:style w:type="character" w:styleId="Strong">
    <w:name w:val="Strong"/>
    <w:qFormat/>
    <w:rPr>
      <w:b/>
      <w:bCs/>
    </w:rPr>
  </w:style>
  <w:style w:type="character" w:styleId="FontStyle16">
    <w:name w:val="Font Style16"/>
    <w:basedOn w:val="DefaultParagraphFont1"/>
    <w:qFormat/>
    <w:rPr>
      <w:rFonts w:ascii="Times New Roman" w:hAnsi="Times New Roman" w:eastAsia="Times New Roman" w:cs="Times New Roman"/>
      <w:sz w:val="26"/>
      <w:szCs w:val="26"/>
    </w:rPr>
  </w:style>
  <w:style w:type="character" w:styleId="Hyperlink">
    <w:name w:val="Hyperlink"/>
    <w:rPr>
      <w:color w:val="000080"/>
      <w:u w:val="single"/>
    </w:rPr>
  </w:style>
  <w:style w:type="character" w:styleId="DefaultParagraphFont2">
    <w:name w:val="Default Paragraph Font2"/>
    <w:qFormat/>
    <w:rPr/>
  </w:style>
  <w:style w:type="character" w:styleId="FollowedHyperlink">
    <w:name w:val="FollowedHyperlink"/>
    <w:basedOn w:val="DefaultParagraphFont2"/>
    <w:rPr>
      <w:color w:val="954F72"/>
      <w:u w:val="single"/>
    </w:rPr>
  </w:style>
  <w:style w:type="character" w:styleId="FontStyle23">
    <w:name w:val="Font Style23"/>
    <w:qFormat/>
    <w:rPr>
      <w:rFonts w:ascii="Times New Roman" w:hAnsi="Times New Roman" w:cs="Times New Roman"/>
      <w:sz w:val="26"/>
    </w:rPr>
  </w:style>
  <w:style w:type="character" w:styleId="Style20">
    <w:name w:val="Основной шрифт абзаца"/>
    <w:qFormat/>
    <w:rPr/>
  </w:style>
  <w:style w:type="character" w:styleId="WW8Num2z0">
    <w:name w:val="WW8Num2z0"/>
    <w:qFormat/>
    <w:rPr>
      <w:rFonts w:ascii="Symbol" w:hAnsi="Symbol" w:cs="Symbol"/>
    </w:rPr>
  </w:style>
  <w:style w:type="character" w:styleId="WW8Num2z1">
    <w:name w:val="WW8Num2z1"/>
    <w:qFormat/>
    <w:rPr>
      <w:rFonts w:ascii="OpenSymbol;Arial Unicode MS" w:hAnsi="OpenSymbol;Arial Unicode MS" w:cs="OpenSymbol;Arial Unicode MS"/>
    </w:rPr>
  </w:style>
  <w:style w:type="character" w:styleId="FontStyle52">
    <w:name w:val="Font Style52"/>
    <w:basedOn w:val="1"/>
    <w:qFormat/>
    <w:rPr>
      <w:rFonts w:cs="Times New Roman"/>
      <w:sz w:val="26"/>
    </w:rPr>
  </w:style>
  <w:style w:type="character" w:styleId="FontStyle50">
    <w:name w:val="Font Style50"/>
    <w:basedOn w:val="1"/>
    <w:qFormat/>
    <w:rPr>
      <w:rFonts w:cs="Times New Roman"/>
      <w:i/>
      <w:sz w:val="22"/>
    </w:rPr>
  </w:style>
  <w:style w:type="character" w:styleId="FontStyle80">
    <w:name w:val="Font Style80"/>
    <w:basedOn w:val="1"/>
    <w:qFormat/>
    <w:rPr>
      <w:rFonts w:cs="Times New Roman"/>
      <w:spacing w:val="-20"/>
      <w:sz w:val="40"/>
    </w:rPr>
  </w:style>
  <w:style w:type="paragraph" w:styleId="Style2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onsPlusNormal" w:customStyle="1">
    <w:name w:val="ConsPlusNormal"/>
    <w:qFormat/>
    <w:rsid w:val="00fe21d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Style14"/>
    <w:uiPriority w:val="99"/>
    <w:semiHidden/>
    <w:unhideWhenUsed/>
    <w:qFormat/>
    <w:rsid w:val="009f210a"/>
    <w:pPr>
      <w:spacing w:lineRule="auto" w:line="240" w:before="0" w:after="0"/>
    </w:pPr>
    <w:rPr>
      <w:rFonts w:ascii="Segoe UI" w:hAnsi="Segoe UI" w:cs="Segoe UI"/>
      <w:sz w:val="18"/>
      <w:szCs w:val="18"/>
    </w:rPr>
  </w:style>
  <w:style w:type="paragraph" w:styleId="Style23">
    <w:name w:val="Колонтитул"/>
    <w:basedOn w:val="Normal"/>
    <w:qFormat/>
    <w:pPr/>
    <w:rPr/>
  </w:style>
  <w:style w:type="paragraph" w:styleId="Header">
    <w:name w:val="Header"/>
    <w:basedOn w:val="Normal"/>
    <w:link w:val="Style15"/>
    <w:uiPriority w:val="99"/>
    <w:rsid w:val="007163e6"/>
    <w:pPr>
      <w:tabs>
        <w:tab w:val="clear" w:pos="708"/>
        <w:tab w:val="center" w:pos="4677" w:leader="none"/>
        <w:tab w:val="right" w:pos="9355" w:leader="none"/>
      </w:tabs>
      <w:suppressAutoHyphens w:val="false"/>
      <w:spacing w:lineRule="auto" w:line="240" w:before="0" w:after="0"/>
      <w:textAlignment w:val="auto"/>
    </w:pPr>
    <w:rPr>
      <w:rFonts w:ascii="Times New Roman" w:hAnsi="Times New Roman" w:eastAsia="Times New Roman" w:cs="Times New Roman"/>
      <w:kern w:val="0"/>
      <w:sz w:val="24"/>
      <w:szCs w:val="24"/>
      <w:lang w:eastAsia="ru-RU"/>
    </w:rPr>
  </w:style>
  <w:style w:type="paragraph" w:styleId="ListParagraph">
    <w:name w:val="List Paragraph"/>
    <w:basedOn w:val="Normal"/>
    <w:uiPriority w:val="34"/>
    <w:qFormat/>
    <w:rsid w:val="004d0f07"/>
    <w:pPr>
      <w:spacing w:before="0" w:after="160"/>
      <w:ind w:left="720"/>
      <w:contextualSpacing/>
    </w:pPr>
    <w:rPr/>
  </w:style>
  <w:style w:type="paragraph" w:styleId="Default" w:customStyle="1">
    <w:name w:val="Default"/>
    <w:qFormat/>
    <w:rsid w:val="00216aa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Footer">
    <w:name w:val="Footer"/>
    <w:basedOn w:val="Normal"/>
    <w:link w:val="Style16"/>
    <w:uiPriority w:val="99"/>
    <w:unhideWhenUsed/>
    <w:rsid w:val="00354b64"/>
    <w:pPr>
      <w:tabs>
        <w:tab w:val="clear" w:pos="708"/>
        <w:tab w:val="center" w:pos="4677" w:leader="none"/>
        <w:tab w:val="right" w:pos="9355" w:leader="none"/>
      </w:tabs>
      <w:spacing w:lineRule="auto" w:line="240" w:before="0" w:after="0"/>
    </w:pPr>
    <w:rPr/>
  </w:style>
  <w:style w:type="paragraph" w:styleId="FootnoteText">
    <w:name w:val="Footnote Text"/>
    <w:basedOn w:val="Normal"/>
    <w:link w:val="Style17"/>
    <w:uiPriority w:val="99"/>
    <w:unhideWhenUsed/>
    <w:rsid w:val="00014e0f"/>
    <w:pPr>
      <w:suppressAutoHyphens w:val="false"/>
      <w:spacing w:lineRule="auto" w:line="240" w:before="0" w:after="0"/>
      <w:textAlignment w:val="auto"/>
    </w:pPr>
    <w:rPr>
      <w:rFonts w:ascii="Calibri" w:hAnsi="Calibri" w:eastAsia="Calibri" w:cs="" w:asciiTheme="minorHAnsi" w:cstheme="minorBidi" w:eastAsiaTheme="minorHAnsi" w:hAnsiTheme="minorHAnsi"/>
      <w:kern w:val="0"/>
      <w:sz w:val="20"/>
      <w:szCs w:val="20"/>
      <w:lang w:eastAsia="en-US"/>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NoSpacing">
    <w:name w:val="No Spacing"/>
    <w:qFormat/>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1">
    <w:name w:val="Основной текст1"/>
    <w:basedOn w:val="Normal"/>
    <w:qFormat/>
    <w:pPr>
      <w:widowControl w:val="false"/>
      <w:shd w:val="clear" w:fill="FFFFFF"/>
      <w:spacing w:lineRule="auto" w:line="264" w:before="0" w:after="0"/>
      <w:ind w:firstLine="400" w:left="0" w:right="0"/>
    </w:pPr>
    <w:rPr>
      <w:rFonts w:ascii="Times New Roman" w:hAnsi="Times New Roman" w:eastAsia="Times New Roman" w:cs="Times New Roman"/>
    </w:rPr>
  </w:style>
  <w:style w:type="paragraph" w:styleId="12">
    <w:name w:val="нормальный1"/>
    <w:basedOn w:val="Normal"/>
    <w:qFormat/>
    <w:pPr>
      <w:spacing w:before="0" w:after="60"/>
      <w:ind w:firstLine="720" w:left="0" w:right="0"/>
      <w:jc w:val="both"/>
    </w:pPr>
    <w:rPr>
      <w:sz w:val="26"/>
      <w:szCs w:val="20"/>
    </w:rPr>
  </w:style>
  <w:style w:type="paragraph" w:styleId="Style61">
    <w:name w:val="Style6"/>
    <w:basedOn w:val="Normal"/>
    <w:next w:val="Normal"/>
    <w:qFormat/>
    <w:pPr>
      <w:spacing w:lineRule="exact" w:line="317"/>
      <w:ind w:firstLine="706" w:left="0" w:right="0"/>
      <w:jc w:val="both"/>
    </w:pPr>
    <w:rPr/>
  </w:style>
  <w:style w:type="paragraph" w:styleId="NormalWeb">
    <w:name w:val="Normal (Web)"/>
    <w:basedOn w:val="Normal"/>
    <w:qFormat/>
    <w:pPr>
      <w:spacing w:before="280" w:after="119"/>
      <w:textAlignment w:val="baseline"/>
    </w:pPr>
    <w:rPr>
      <w:rFonts w:ascii="Times New Roman" w:hAnsi="Times New Roman" w:eastAsia="Times New Roman" w:cs="Times New Roman"/>
      <w:kern w:val="2"/>
    </w:rPr>
  </w:style>
  <w:style w:type="paragraph" w:styleId="Style26">
    <w:name w:val="Обычный"/>
    <w:qFormat/>
    <w:pPr>
      <w:widowControl w:val="false"/>
      <w:suppressAutoHyphens w:val="true"/>
      <w:bidi w:val="0"/>
      <w:spacing w:before="0" w:after="0"/>
      <w:jc w:val="left"/>
    </w:pPr>
    <w:rPr>
      <w:rFonts w:ascii="Liberation Serif;Times New Roman" w:hAnsi="Liberation Serif;Times New Roman" w:eastAsia="NSimSun" w:cs="Mangal"/>
      <w:color w:val="auto"/>
      <w:kern w:val="0"/>
      <w:sz w:val="24"/>
      <w:szCs w:val="24"/>
      <w:lang w:val="ru-RU" w:eastAsia="zh-CN" w:bidi="hi-IN"/>
    </w:rPr>
  </w:style>
  <w:style w:type="paragraph" w:styleId="Style27">
    <w:name w:val="Style27"/>
    <w:basedOn w:val="Normal"/>
    <w:qFormat/>
    <w:pPr>
      <w:spacing w:lineRule="exact" w:line="353"/>
      <w:ind w:firstLine="701" w:left="0" w:right="0"/>
      <w:jc w:val="both"/>
    </w:pPr>
    <w:rPr>
      <w:lang w:eastAsia="ru-RU" w:bidi="ar-SA"/>
    </w:rPr>
  </w:style>
  <w:style w:type="paragraph" w:styleId="Style39">
    <w:name w:val="Style39"/>
    <w:basedOn w:val="Normal"/>
    <w:qFormat/>
    <w:pPr>
      <w:spacing w:lineRule="exact" w:line="354"/>
      <w:ind w:firstLine="696" w:left="0" w:right="0"/>
    </w:pPr>
    <w:rPr>
      <w:lang w:eastAsia="ru-RU" w:bidi="ar-SA"/>
    </w:rPr>
  </w:style>
  <w:style w:type="paragraph" w:styleId="Style211">
    <w:name w:val="Style21"/>
    <w:basedOn w:val="Normal"/>
    <w:qFormat/>
    <w:pPr>
      <w:spacing w:lineRule="exact" w:line="355"/>
      <w:ind w:firstLine="701" w:left="0" w:right="0"/>
      <w:jc w:val="both"/>
    </w:pPr>
    <w:rPr>
      <w:lang w:eastAsia="ru-RU" w:bidi="ar-SA"/>
    </w:rPr>
  </w:style>
  <w:style w:type="paragraph" w:styleId="Style31">
    <w:name w:val="Style31"/>
    <w:basedOn w:val="Normal"/>
    <w:qFormat/>
    <w:pPr>
      <w:spacing w:lineRule="exact" w:line="354"/>
      <w:ind w:firstLine="451" w:left="0" w:right="0"/>
    </w:pPr>
    <w:rPr>
      <w:lang w:eastAsia="ru-RU" w:bidi="ar-SA"/>
    </w:rPr>
  </w:style>
  <w:style w:type="paragraph" w:styleId="21">
    <w:name w:val="Основной текст 21"/>
    <w:basedOn w:val="Normal"/>
    <w:qFormat/>
    <w:pPr>
      <w:jc w:val="both"/>
    </w:pPr>
    <w:rPr>
      <w:sz w:val="28"/>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90c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msr.ru/work/jkh/komuslugi/3099/" TargetMode="External"/><Relationship Id="rId3" Type="http://schemas.openxmlformats.org/officeDocument/2006/relationships/hyperlink" Target="http://www.korenovsk.ru/" TargetMode="External"/><Relationship Id="rId4" Type="http://schemas.openxmlformats.org/officeDocument/2006/relationships/hyperlink" Target="http://www.korenovsk.ru/" TargetMode="External"/><Relationship Id="rId5" Type="http://schemas.openxmlformats.org/officeDocument/2006/relationships/hyperlink" Target="http://www.korenovsk.ru/" TargetMode="External"/><Relationship Id="rId6" Type="http://schemas.openxmlformats.org/officeDocument/2006/relationships/hyperlink" Target="http://www.korenovsk.ru/" TargetMode="External"/><Relationship Id="rId7" Type="http://schemas.openxmlformats.org/officeDocument/2006/relationships/hyperlink" Target="http://www.korenovsk.ru/" TargetMode="External"/><Relationship Id="rId8" Type="http://schemas.openxmlformats.org/officeDocument/2006/relationships/hyperlink" Target="https://www.nesk-elseti.ru/tehnologicheskoe-prisoedinenie/" TargetMode="External"/><Relationship Id="rId9" Type="http://schemas.openxmlformats.org/officeDocument/2006/relationships/hyperlink" Target="https://mupzhkh.nethouse.ru/" TargetMode="External"/><Relationship Id="rId10" Type="http://schemas.openxmlformats.org/officeDocument/2006/relationships/hyperlink" Target="http://gkhsergievka.ru/&#1087;&#1086;&#1088;&#1103;&#1076;&#1086;&#1082;-&#1087;&#1086;&#1076;&#1082;&#1083;&#1102;&#1095;&#1077;&#1085;&#1080;&#1103;/" TargetMode="External"/><Relationship Id="rId11" Type="http://schemas.openxmlformats.org/officeDocument/2006/relationships/hyperlink" Target="http://www.korenovsk.ru/?page_id=071947"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F439-E460-4B4D-9A4D-DF7BD602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Application>LibreOffice/7.6.4.1$Windows_X86_64 LibreOffice_project/e19e193f88cd6c0525a17fb7a176ed8e6a3e2aa1</Application>
  <AppVersion>15.0000</AppVersion>
  <Pages>45</Pages>
  <Words>13372</Words>
  <Characters>96855</Characters>
  <CharactersWithSpaces>109977</CharactersWithSpaces>
  <Paragraphs>943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2020-01-09T13:06:00Z</dcterms:created>
  <dc:creator>Наталья Ю. Шумко</dc:creator>
  <dc:description/>
  <dc:language>ru-RU</dc:language>
  <cp:lastModifiedBy/>
  <dcterms:modified xsi:type="dcterms:W3CDTF">2025-02-03T15:16:16Z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file>