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FFFFFF"/>
        <w:jc w:val="both"/>
        <w:rPr>
          <w:b w:val="false"/>
        </w:rPr>
      </w:pPr>
      <w:r>
        <w:rPr>
          <w:b w:val="false"/>
        </w:rPr>
        <w:t xml:space="preserve">                                                                                                                          </w:t>
      </w:r>
    </w:p>
    <w:p>
      <w:pPr>
        <w:pStyle w:val="1"/>
        <w:shd w:val="clear" w:color="auto" w:fill="FFFFFF"/>
        <w:jc w:val="both"/>
        <w:rPr/>
      </w:pPr>
      <w:r>
        <w:rPr/>
      </w:r>
    </w:p>
    <w:p>
      <w:pPr>
        <w:pStyle w:val="1"/>
        <w:shd w:val="clear" w:color="auto" w:fill="FFFFFF"/>
        <w:jc w:val="both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ПРОЕКТ</w:t>
      </w:r>
    </w:p>
    <w:p>
      <w:pPr>
        <w:pStyle w:val="1"/>
        <w:shd w:val="clear" w:color="auto" w:fill="FFFFFF"/>
        <w:jc w:val="both"/>
        <w:rPr/>
      </w:pPr>
      <w:r>
        <w:rPr/>
        <w:t xml:space="preserve">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eastAsia="ru-RU" w:bidi="ru-RU"/>
        </w:rPr>
        <w:t xml:space="preserve">             </w:t>
      </w:r>
      <w:r>
        <w:rPr>
          <w:sz w:val="24"/>
          <w:lang w:eastAsia="ru-RU" w:bidi="ru-RU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  <w:lang w:eastAsia="ru-RU" w:bidi="ru-RU"/>
        </w:rPr>
        <w:t xml:space="preserve">                                                          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ind w:left="709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09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09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ind w:left="709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09" w:hanging="0"/>
        <w:jc w:val="center"/>
        <w:rPr/>
      </w:pPr>
      <w:r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органов местного самоуправления муниципального образования Кореновский муниципальный район Краснодарского края, подведомственных им муниципальных учреждений с организаторами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>
      <w:pPr>
        <w:pStyle w:val="Normal"/>
        <w:ind w:left="709" w:hanging="0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05 февраля 2018 года № 15-ФЗ «О внесении изменений в отдельные законодательные акты Российской Федерации по вопросам добровольчества (волонтерства)»,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организациями,  о внесении изменений в постановление Правительства Российской Федерации от 24 января 2025 года № 40 «О внесении изменений в постановление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</w:rPr>
        <w:t>2</w:t>
      </w:r>
    </w:p>
    <w:p>
      <w:pPr>
        <w:pStyle w:val="Normal"/>
        <w:widowControl/>
        <w:tabs>
          <w:tab w:val="clear" w:pos="708"/>
          <w:tab w:val="left" w:pos="675" w:leader="none"/>
        </w:tabs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муниципального образования Кореновский муниципальный район Краснодарского края администрация муниципального образования Кореновский муниципальный район Краснодарского края   </w:t>
      </w:r>
      <w:r>
        <w:rPr>
          <w:spacing w:val="5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 Утвердить порядок</w:t>
      </w:r>
      <w:r>
        <w:rPr>
          <w:color w:val="000000"/>
          <w:sz w:val="28"/>
          <w:szCs w:val="28"/>
        </w:rPr>
        <w:t xml:space="preserve"> взаимодействия органов местного самоуправления муниципального образования Кореновский муниципальный район Краснодарского края подведомственных им муниципальных учреждений с организаторами  добровольческой  (волонтерской)  деятельности, добровольческими (волонтерскими) организациями.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2. Признать утратившим силу постановление администрации муниципального образования Кореновский район от 13.05.2019 года № 600 «Об утверждении порядка взаимодействия органов местного самоуправления муниципального образования Кореновский район,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>3. 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  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</w:t>
      </w:r>
      <w:bookmarkStart w:id="0" w:name="_GoBack"/>
      <w:bookmarkEnd w:id="0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Постановление вступают после официального обнародования.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ab/>
        <w:tab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Глава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Кореновский муниципальный район                                                                                 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Краснодарского края                                                                    С.А. Голобородько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left="4956" w:right="0" w:hanging="0"/>
        <w:jc w:val="center"/>
        <w:rPr/>
      </w:pPr>
      <w:r>
        <w:rPr/>
      </w:r>
    </w:p>
    <w:p>
      <w:pPr>
        <w:pStyle w:val="Normal"/>
        <w:ind w:left="495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 Краснодарского края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___________</w:t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</w:r>
    </w:p>
    <w:p>
      <w:pPr>
        <w:pStyle w:val="Normal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ПОРЯДОК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взаимодействия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Кореновский муниципальный район Краснодарского края,  подведомственных им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муниципальных учреждений с организаторами добровольческой (волонтерской) </w:t>
      </w:r>
      <w:r>
        <w:rPr>
          <w:color w:val="000000"/>
          <w:sz w:val="28"/>
          <w:szCs w:val="28"/>
        </w:rPr>
        <w:t xml:space="preserve">деятельности, </w:t>
      </w:r>
      <w:r>
        <w:rPr>
          <w:b w:val="false"/>
          <w:bCs w:val="false"/>
          <w:color w:val="000000"/>
          <w:sz w:val="28"/>
          <w:szCs w:val="28"/>
        </w:rPr>
        <w:t>добровольческими (волонтерскими)</w:t>
      </w:r>
      <w:r>
        <w:rPr>
          <w:color w:val="000000"/>
          <w:sz w:val="28"/>
          <w:szCs w:val="28"/>
        </w:rPr>
        <w:t xml:space="preserve"> организациями 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>
        <w:rPr>
          <w:color w:val="000000"/>
          <w:spacing w:val="2"/>
          <w:sz w:val="28"/>
          <w:szCs w:val="28"/>
        </w:rPr>
        <w:t>1.1. Настоящий Порядок</w:t>
      </w:r>
      <w:r>
        <w:rPr>
          <w:sz w:val="28"/>
          <w:szCs w:val="28"/>
        </w:rPr>
        <w:t xml:space="preserve"> взаимодействия </w:t>
      </w:r>
      <w:r>
        <w:rPr>
          <w:color w:val="000000"/>
          <w:spacing w:val="2"/>
          <w:sz w:val="28"/>
          <w:szCs w:val="28"/>
        </w:rPr>
        <w:t>разработан в соответствии с</w:t>
      </w:r>
      <w:r>
        <w:rPr>
          <w:color w:val="000000"/>
          <w:sz w:val="28"/>
          <w:szCs w:val="28"/>
        </w:rPr>
        <w:t xml:space="preserve"> Федеральным </w:t>
      </w:r>
      <w:hyperlink r:id="rId2">
        <w:r>
          <w:rPr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  <w:u w:val="none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с </w:t>
      </w:r>
      <w:hyperlink r:id="rId3">
        <w:r>
          <w:rPr>
            <w:color w:val="000000"/>
            <w:sz w:val="28"/>
            <w:szCs w:val="28"/>
            <w:u w:val="none"/>
          </w:rPr>
          <w:t>подпунктом 2 пункта 4 статьи 17.3</w:t>
        </w:r>
      </w:hyperlink>
      <w:r>
        <w:rPr>
          <w:color w:val="000000"/>
          <w:sz w:val="28"/>
          <w:szCs w:val="28"/>
          <w:u w:val="none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</w:t>
      </w:r>
      <w:r>
        <w:rPr>
          <w:color w:val="000000"/>
          <w:sz w:val="28"/>
          <w:szCs w:val="28"/>
        </w:rPr>
        <w:t xml:space="preserve">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Кореновского района,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    —     добровольческая     деятельность),     а      также      обеспечение </w:t>
      </w:r>
    </w:p>
    <w:p>
      <w:pPr>
        <w:pStyle w:val="Normal"/>
        <w:shd w:val="clear" w:fill="FFFFFF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shd w:val="clear" w:fill="FFFFFF"/>
        <w:ind w:left="0" w:right="0" w:hang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и общественных институтов. </w:t>
      </w:r>
    </w:p>
    <w:p>
      <w:pPr>
        <w:pStyle w:val="Normal"/>
        <w:shd w:val="clear" w:fill="FFFFFF"/>
        <w:ind w:left="0" w:right="0" w:hanging="0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>1.2. Для целей настоящего Порядка применяются следующие понятия: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>
        <w:rPr>
          <w:sz w:val="28"/>
          <w:szCs w:val="28"/>
        </w:rPr>
        <w:t xml:space="preserve">указанных </w:t>
      </w:r>
      <w:r>
        <w:rPr>
          <w:sz w:val="28"/>
          <w:szCs w:val="28"/>
          <w:u w:val="none"/>
        </w:rPr>
        <w:t xml:space="preserve">в </w:t>
      </w:r>
      <w:hyperlink r:id="rId4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б) добровольцы (волонтеры) - физические лица, осуществляющие добровольческую (волонтерскую) деятельность в целях, указанны</w:t>
      </w:r>
      <w:r>
        <w:rPr>
          <w:sz w:val="28"/>
          <w:szCs w:val="28"/>
          <w:u w:val="none"/>
        </w:rPr>
        <w:t xml:space="preserve">х в </w:t>
      </w:r>
      <w:hyperlink r:id="rId5">
        <w:r>
          <w:rPr>
            <w:color w:val="000000"/>
            <w:sz w:val="28"/>
            <w:szCs w:val="28"/>
            <w:u w:val="none"/>
          </w:rPr>
          <w:t>пункте 1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u w:val="none"/>
          </w:rPr>
          <w:t>статьи 2</w:t>
        </w:r>
      </w:hyperlink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</w:t>
      </w:r>
      <w:r>
        <w:rPr>
          <w:sz w:val="28"/>
          <w:szCs w:val="28"/>
        </w:rPr>
        <w:t>, или в иных общественно полезных целях;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</w:t>
      </w:r>
      <w:r>
        <w:rPr>
          <w:sz w:val="28"/>
          <w:szCs w:val="28"/>
          <w:u w:val="none"/>
        </w:rPr>
        <w:t xml:space="preserve">в </w:t>
      </w:r>
      <w:hyperlink r:id="rId6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«О благотворительной деятельности и добровольчестве (волонтерстве)»</w:t>
      </w:r>
      <w:r>
        <w:rPr>
          <w:sz w:val="28"/>
          <w:szCs w:val="28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д) уполномоченный орган – отдел по делам молодежи администрации муниципального образования Кореновский район, уполномоченный на осуществление действий, предусмотренных настоящим Порядком взаимодействия.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техже значениях, что и в нормативных правовых актах Российской Федерации, Краснодарского края 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1.3. Цель Порядка взаимодействия – добровольное осуществление </w:t>
      </w:r>
      <w:r>
        <w:rPr>
          <w:color w:val="000000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33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2. Содействие в оказании социальных услуг в стационарной форме социального обслуживания.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Style20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>
      <w:pPr>
        <w:pStyle w:val="Normal"/>
        <w:ind w:firstLine="720"/>
        <w:jc w:val="both"/>
        <w:rPr/>
      </w:pPr>
      <w:bookmarkStart w:id="1" w:name="sub_1081111"/>
      <w:bookmarkStart w:id="2" w:name="sub_108113"/>
      <w:bookmarkEnd w:id="1"/>
      <w:bookmarkEnd w:id="2"/>
      <w:r>
        <w:rPr>
          <w:rStyle w:val="Style2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ind w:left="0" w:right="0" w:firstLine="57"/>
        <w:jc w:val="both"/>
        <w:rPr/>
      </w:pPr>
      <w:r>
        <w:rPr>
          <w:rStyle w:val="Style2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>
      <w:pPr>
        <w:pStyle w:val="Normal"/>
        <w:ind w:firstLine="720"/>
        <w:jc w:val="both"/>
        <w:rPr/>
      </w:pPr>
      <w:bookmarkStart w:id="3" w:name="sub_1081121"/>
      <w:bookmarkEnd w:id="3"/>
      <w:r>
        <w:rPr>
          <w:rStyle w:val="Style2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>
      <w:pPr>
        <w:pStyle w:val="Normal"/>
        <w:ind w:firstLine="720"/>
        <w:jc w:val="both"/>
        <w:rPr>
          <w:rStyle w:val="Style2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>
          <w:rStyle w:val="Style2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rStyle w:val="Style20"/>
          <w:sz w:val="28"/>
          <w:szCs w:val="28"/>
        </w:rPr>
        <w:t>4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>
      <w:pPr>
        <w:pStyle w:val="Normal"/>
        <w:ind w:firstLine="720"/>
        <w:jc w:val="both"/>
        <w:rPr/>
      </w:pPr>
      <w:bookmarkStart w:id="4" w:name="sub_108121"/>
      <w:bookmarkEnd w:id="4"/>
      <w:r>
        <w:rPr>
          <w:rStyle w:val="Style20"/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rStyle w:val="Style20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shd w:val="clear" w:fill="FFFFFF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>
      <w:pPr>
        <w:pStyle w:val="Normal"/>
        <w:shd w:val="clear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должно содержать следующую информацию 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        организаторами        добровольческой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 принятии предложения,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 отказе в принятии предложения с указанием причин, послуживших основанием для принятия такого решения.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 иных условиях осуществления добровольческой деятельности. </w:t>
      </w:r>
    </w:p>
    <w:p>
      <w:pPr>
        <w:pStyle w:val="Normal"/>
        <w:ind w:left="0" w:right="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Организатор   добровольческой   деятельности,   </w:t>
      </w:r>
      <w:r>
        <w:rPr>
          <w:color w:val="000000"/>
          <w:sz w:val="28"/>
          <w:szCs w:val="28"/>
        </w:rPr>
        <w:t>добровольческая  организация</w:t>
      </w:r>
      <w:r>
        <w:rPr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t>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Заключение соглашения о совместной деятельности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условия осуществления добровольческой деятельности: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учетом требований, устанавливаемых уполномоченным  федеральным органом исполнительной власти;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РФ.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Организатор   добровольческой  деятельности, 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подписанное соглашение;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оформленный в произвольной письменной форме отказ от подписания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муниципальный район 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  <w:tab/>
        <w:tab/>
        <w:tab/>
        <w:tab/>
        <w:tab/>
        <w:tab/>
        <w:tab/>
        <w:t xml:space="preserve">          Т.Г. Ковалева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footerReference w:type="first" r:id="rId7"/>
      <w:type w:val="nextPage"/>
      <w:pgSz w:w="11906" w:h="16838"/>
      <w:pgMar w:left="1701" w:right="567" w:gutter="0" w:header="0" w:top="1365" w:footer="0" w:bottom="2061"/>
      <w:pgNumType w:fmt="decimal"/>
      <w:formProt w:val="false"/>
      <w:titlePg/>
      <w:textDirection w:val="lrTb"/>
      <w:docGrid w:type="default" w:linePitch="760" w:charSpace="1228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Pr>
      <w:b/>
      <w:bCs/>
    </w:rPr>
  </w:style>
  <w:style w:type="character" w:styleId="Style15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7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8" w:customStyle="1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zh-CN"/>
    </w:rPr>
  </w:style>
  <w:style w:type="character" w:styleId="-" w:customStyle="1">
    <w:name w:val="Hyperlink"/>
    <w:rPr>
      <w:color w:val="000080"/>
      <w:u w:val="single"/>
      <w:lang w:val="ru-RU" w:eastAsia="ru-RU" w:bidi="ru-RU"/>
    </w:rPr>
  </w:style>
  <w:style w:type="character" w:styleId="Style19" w:customStyle="1">
    <w:name w:val="Маркеры списка"/>
    <w:qFormat/>
    <w:rPr>
      <w:rFonts w:ascii="OpenSymbol" w:hAnsi="OpenSymbol" w:eastAsia="OpenSymbol" w:cs="OpenSymbol"/>
    </w:rPr>
  </w:style>
  <w:style w:type="character" w:styleId="Style20" w:customStyle="1">
    <w:name w:val="Цветовое выделение для Текст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Lohit Hind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Hindi"/>
    </w:rPr>
  </w:style>
  <w:style w:type="paragraph" w:styleId="1" w:customStyle="1">
    <w:name w:val="Заголовок1"/>
    <w:basedOn w:val="Normal"/>
    <w:qFormat/>
    <w:pPr>
      <w:jc w:val="center"/>
    </w:pPr>
    <w:rPr>
      <w:b/>
      <w:sz w:val="28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Style28">
    <w:name w:val="Head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WenQuanYi Micro Hei" w:cs="Arial"/>
      <w:color w:val="auto"/>
      <w:kern w:val="2"/>
      <w:sz w:val="22"/>
      <w:szCs w:val="24"/>
      <w:lang w:val="ru-RU" w:eastAsia="zh-CN" w:bidi="hi-IN"/>
    </w:rPr>
  </w:style>
  <w:style w:type="paragraph" w:styleId="Style29" w:customStyle="1">
    <w:name w:val="Знак Знак Знак Знак"/>
    <w:basedOn w:val="Normal"/>
    <w:qFormat/>
    <w:pPr>
      <w:suppressAutoHyphens w:val="false"/>
      <w:spacing w:before="28" w:after="28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C8B3292586CBDF33C981BD9170A590A6833BAF3C580EAFAC19E9BD93522E9A6B2A368D8A2eFrFK" TargetMode="External"/><Relationship Id="rId3" Type="http://schemas.openxmlformats.org/officeDocument/2006/relationships/hyperlink" Target="consultantplus://offline/ref=46CB01B9EF74D9AD8911B6E161C756B9368612AF03E7A9E5FCCD49FF1AEF886C83ECF550G035C" TargetMode="External"/><Relationship Id="rId4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hyperlink" Target="consultantplus://offline/ref=FEBDAB70D97C52BA28A0E909CFC532BF1DBD6E7DFB0BB888B533C0300682C03D5C8D670BEDRAM" TargetMode="External"/><Relationship Id="rId6" Type="http://schemas.openxmlformats.org/officeDocument/2006/relationships/hyperlink" Target="consultantplus://offline/ref=FEBDAB70D97C52BA28A0E909CFC532BF1DBD6E7DFB0BB888B533C0300682C03D5C8D670BEDRA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7564</TotalTime>
  <Application>LibreOffice/7.5.4.2$Windows_X86_64 LibreOffice_project/36ccfdc35048b057fd9854c757a8b67ec53977b6</Application>
  <AppVersion>15.0000</AppVersion>
  <Pages>10</Pages>
  <Words>1999</Words>
  <Characters>16765</Characters>
  <CharactersWithSpaces>19616</CharactersWithSpaces>
  <Paragraphs>118</Paragraphs>
  <Company>МКУ "Молодежный центр"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2019-03-21T06:51:00Z</dcterms:created>
  <dc:creator>Начальник отдела</dc:creator>
  <dc:description/>
  <dc:language>ru-RU</dc:language>
  <cp:lastModifiedBy/>
  <cp:lastPrinted>2025-05-15T09:42:31Z</cp:lastPrinted>
  <dcterms:modified xsi:type="dcterms:W3CDTF">2025-05-15T11:52:39Z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