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5EE2">
      <w:pPr>
        <w:pStyle w:val="Style6"/>
        <w:widowControl/>
        <w:ind w:left="385" w:hanging="119"/>
        <w:jc w:val="right"/>
      </w:pPr>
      <w:r>
        <w:rPr>
          <w:sz w:val="28"/>
          <w:szCs w:val="28"/>
        </w:rPr>
        <w:t>ПРОЕКТ</w:t>
      </w: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Style6"/>
        <w:widowControl/>
        <w:ind w:left="385" w:hanging="119"/>
        <w:rPr>
          <w:sz w:val="28"/>
          <w:szCs w:val="28"/>
        </w:rPr>
      </w:pPr>
    </w:p>
    <w:p w:rsidR="00000000" w:rsidRDefault="00325EE2">
      <w:pPr>
        <w:pStyle w:val="a4"/>
        <w:jc w:val="center"/>
      </w:pPr>
      <w:r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показателей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социально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экономического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</w:t>
      </w:r>
      <w:r>
        <w:rPr>
          <w:b/>
          <w:sz w:val="28"/>
          <w:szCs w:val="28"/>
        </w:rPr>
        <w:t>иципальный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долгосрочный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2026-2031 </w:t>
      </w:r>
      <w:r>
        <w:rPr>
          <w:b/>
          <w:sz w:val="28"/>
          <w:szCs w:val="28"/>
        </w:rPr>
        <w:t>годов</w:t>
      </w:r>
    </w:p>
    <w:p w:rsidR="00000000" w:rsidRDefault="00325EE2">
      <w:pPr>
        <w:pStyle w:val="Style2"/>
        <w:widowControl/>
        <w:rPr>
          <w:sz w:val="28"/>
          <w:szCs w:val="28"/>
        </w:rPr>
      </w:pPr>
    </w:p>
    <w:p w:rsidR="00000000" w:rsidRDefault="00325EE2">
      <w:pPr>
        <w:pStyle w:val="a4"/>
        <w:ind w:firstLine="709"/>
        <w:jc w:val="both"/>
      </w:pPr>
      <w:r>
        <w:rPr>
          <w:rStyle w:val="FontStyle20"/>
          <w:sz w:val="28"/>
        </w:rPr>
        <w:t>В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соответствии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24 </w:t>
      </w:r>
      <w:r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2022 </w:t>
      </w:r>
      <w:proofErr w:type="gramStart"/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 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1816 </w:t>
      </w:r>
      <w:r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мони</w:t>
      </w:r>
      <w:r>
        <w:rPr>
          <w:sz w:val="28"/>
          <w:szCs w:val="28"/>
        </w:rPr>
        <w:t>торинга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долгосрочный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среднесрочный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периоды»</w:t>
      </w:r>
      <w:r>
        <w:rPr>
          <w:sz w:val="28"/>
          <w:szCs w:val="28"/>
        </w:rPr>
        <w:t xml:space="preserve">, 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администрация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образования</w:t>
      </w:r>
      <w:r>
        <w:rPr>
          <w:rStyle w:val="FontStyle20"/>
          <w:sz w:val="28"/>
        </w:rPr>
        <w:t xml:space="preserve"> </w:t>
      </w:r>
      <w:proofErr w:type="spellStart"/>
      <w:r>
        <w:rPr>
          <w:rStyle w:val="FontStyle20"/>
          <w:sz w:val="28"/>
        </w:rPr>
        <w:t>Кореновский</w:t>
      </w:r>
      <w:proofErr w:type="spellEnd"/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муниципальный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район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Краснодарского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края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п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с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т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а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н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в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л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я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е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т</w:t>
      </w:r>
      <w:r>
        <w:rPr>
          <w:rStyle w:val="FontStyle20"/>
          <w:sz w:val="28"/>
        </w:rPr>
        <w:t>:</w:t>
      </w:r>
    </w:p>
    <w:p w:rsidR="00000000" w:rsidRDefault="00325EE2">
      <w:pPr>
        <w:pStyle w:val="a4"/>
        <w:ind w:firstLine="709"/>
        <w:jc w:val="both"/>
      </w:pPr>
      <w:r>
        <w:rPr>
          <w:rStyle w:val="FontStyle20"/>
          <w:sz w:val="28"/>
        </w:rPr>
        <w:t>1. </w:t>
      </w:r>
      <w:r>
        <w:rPr>
          <w:rStyle w:val="FontStyle20"/>
          <w:sz w:val="28"/>
        </w:rPr>
        <w:t>Утвердить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Прогноз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основных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показателей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социально</w:t>
      </w:r>
      <w:r>
        <w:rPr>
          <w:rStyle w:val="FontStyle20"/>
          <w:sz w:val="28"/>
        </w:rPr>
        <w:t>-</w:t>
      </w:r>
      <w:r>
        <w:rPr>
          <w:rStyle w:val="FontStyle20"/>
          <w:sz w:val="28"/>
        </w:rPr>
        <w:t>экономического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развития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образования</w:t>
      </w:r>
      <w:r>
        <w:rPr>
          <w:rStyle w:val="FontStyle20"/>
          <w:sz w:val="28"/>
        </w:rPr>
        <w:t xml:space="preserve"> </w:t>
      </w:r>
      <w:proofErr w:type="spellStart"/>
      <w:r>
        <w:rPr>
          <w:rStyle w:val="FontStyle20"/>
          <w:sz w:val="28"/>
        </w:rPr>
        <w:t>Кореновский</w:t>
      </w:r>
      <w:proofErr w:type="spellEnd"/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муниципальный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район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Краснодарского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края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на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долгосрочный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период</w:t>
      </w:r>
      <w:r>
        <w:rPr>
          <w:rStyle w:val="FontStyle20"/>
          <w:sz w:val="28"/>
        </w:rPr>
        <w:t xml:space="preserve"> 2026-2031 </w:t>
      </w:r>
      <w:r>
        <w:rPr>
          <w:rStyle w:val="FontStyle20"/>
          <w:sz w:val="28"/>
        </w:rPr>
        <w:t>годов</w:t>
      </w:r>
      <w:r>
        <w:rPr>
          <w:rStyle w:val="FontStyle20"/>
          <w:sz w:val="28"/>
        </w:rPr>
        <w:t xml:space="preserve"> (</w:t>
      </w:r>
      <w:r>
        <w:rPr>
          <w:rStyle w:val="FontStyle20"/>
          <w:sz w:val="28"/>
        </w:rPr>
        <w:t>прилагается</w:t>
      </w:r>
      <w:r>
        <w:rPr>
          <w:rStyle w:val="FontStyle20"/>
          <w:sz w:val="28"/>
        </w:rPr>
        <w:t>).</w:t>
      </w:r>
    </w:p>
    <w:p w:rsidR="00000000" w:rsidRDefault="00325EE2">
      <w:pPr>
        <w:ind w:firstLine="709"/>
        <w:jc w:val="both"/>
      </w:pPr>
      <w:r>
        <w:rPr>
          <w:sz w:val="28"/>
          <w:szCs w:val="28"/>
        </w:rPr>
        <w:t>2. </w:t>
      </w:r>
      <w:r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отокола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телекоммуникационной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:rsidR="00000000" w:rsidRDefault="00325EE2">
      <w:pPr>
        <w:ind w:firstLine="709"/>
        <w:jc w:val="both"/>
      </w:pPr>
      <w:r>
        <w:rPr>
          <w:sz w:val="28"/>
          <w:szCs w:val="28"/>
        </w:rPr>
        <w:t>3. 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000000" w:rsidRDefault="00325EE2">
      <w:pPr>
        <w:pStyle w:val="Style2"/>
        <w:widowControl/>
        <w:ind w:firstLine="850"/>
        <w:rPr>
          <w:sz w:val="28"/>
          <w:szCs w:val="28"/>
        </w:rPr>
      </w:pPr>
    </w:p>
    <w:p w:rsidR="00000000" w:rsidRDefault="00325EE2">
      <w:pPr>
        <w:pStyle w:val="Style2"/>
        <w:widowControl/>
        <w:ind w:firstLine="850"/>
        <w:rPr>
          <w:sz w:val="28"/>
          <w:szCs w:val="28"/>
        </w:rPr>
      </w:pPr>
    </w:p>
    <w:p w:rsidR="00000000" w:rsidRDefault="00325EE2">
      <w:pPr>
        <w:pStyle w:val="Style11"/>
        <w:widowControl/>
        <w:jc w:val="left"/>
      </w:pPr>
      <w:r>
        <w:rPr>
          <w:rStyle w:val="FontStyle20"/>
          <w:sz w:val="28"/>
        </w:rPr>
        <w:t>Глава</w:t>
      </w:r>
    </w:p>
    <w:p w:rsidR="00000000" w:rsidRDefault="00325EE2">
      <w:pPr>
        <w:pStyle w:val="Style11"/>
        <w:widowControl/>
        <w:jc w:val="left"/>
      </w:pPr>
      <w:r>
        <w:rPr>
          <w:rStyle w:val="FontStyle20"/>
          <w:sz w:val="28"/>
        </w:rPr>
        <w:t>муниципального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образования</w:t>
      </w:r>
    </w:p>
    <w:p w:rsidR="00000000" w:rsidRDefault="00325EE2">
      <w:pPr>
        <w:pStyle w:val="Style10"/>
        <w:widowControl/>
        <w:jc w:val="both"/>
      </w:pPr>
      <w:proofErr w:type="spellStart"/>
      <w:r>
        <w:rPr>
          <w:rStyle w:val="FontStyle20"/>
          <w:sz w:val="28"/>
        </w:rPr>
        <w:t>Кореновский</w:t>
      </w:r>
      <w:proofErr w:type="spellEnd"/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муниципальны</w:t>
      </w:r>
      <w:r>
        <w:rPr>
          <w:rStyle w:val="FontStyle20"/>
          <w:sz w:val="28"/>
        </w:rPr>
        <w:t>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район</w:t>
      </w:r>
    </w:p>
    <w:p w:rsidR="00000000" w:rsidRDefault="00325EE2" w:rsidP="007A579D">
      <w:pPr>
        <w:pStyle w:val="Style10"/>
        <w:widowControl/>
        <w:jc w:val="both"/>
        <w:sectPr w:rsidR="00000000">
          <w:headerReference w:type="default" r:id="rId6"/>
          <w:type w:val="continuous"/>
          <w:pgSz w:w="11906" w:h="16838"/>
          <w:pgMar w:top="1134" w:right="567" w:bottom="1134" w:left="1701" w:header="720" w:footer="720" w:gutter="0"/>
          <w:cols w:space="720"/>
          <w:formProt w:val="0"/>
          <w:noEndnote/>
        </w:sectPr>
      </w:pPr>
      <w:r>
        <w:rPr>
          <w:rStyle w:val="FontStyle20"/>
          <w:sz w:val="28"/>
        </w:rPr>
        <w:t xml:space="preserve">Краснодарского края                                                                                   </w:t>
      </w:r>
      <w:r w:rsidR="007A579D">
        <w:rPr>
          <w:rStyle w:val="FontStyle20"/>
          <w:sz w:val="28"/>
        </w:rPr>
        <w:t>С.А. Голобородько</w:t>
      </w:r>
      <w:bookmarkStart w:id="0" w:name="_GoBack"/>
      <w:bookmarkEnd w:id="0"/>
    </w:p>
    <w:p w:rsidR="007A579D" w:rsidRDefault="007A579D"/>
    <w:tbl>
      <w:tblPr>
        <w:tblW w:w="974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</w:tblGrid>
      <w:tr w:rsidR="00000000" w:rsidTr="007A579D">
        <w:trPr>
          <w:jc w:val="right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7A579D" w:rsidRDefault="00325EE2" w:rsidP="007A579D">
            <w:pPr>
              <w:pStyle w:val="Style13"/>
            </w:pPr>
            <w:r>
              <w:rPr>
                <w:rStyle w:val="FontStyle20"/>
                <w:sz w:val="28"/>
              </w:rPr>
              <w:t>ПРИЛОЖЕНИЕ</w:t>
            </w:r>
          </w:p>
          <w:p w:rsidR="00000000" w:rsidRDefault="00325EE2">
            <w:pPr>
              <w:pStyle w:val="Style13"/>
            </w:pPr>
            <w:r>
              <w:rPr>
                <w:rStyle w:val="FontStyle20"/>
                <w:sz w:val="28"/>
              </w:rPr>
              <w:t>УТВЕРЖДЕН</w:t>
            </w:r>
          </w:p>
          <w:p w:rsidR="00000000" w:rsidRDefault="00325EE2">
            <w:pPr>
              <w:pStyle w:val="Style13"/>
            </w:pPr>
            <w:r>
              <w:rPr>
                <w:rStyle w:val="FontStyle20"/>
                <w:sz w:val="28"/>
              </w:rPr>
              <w:t>постановлением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администрации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муниципального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образования</w:t>
            </w:r>
            <w:r>
              <w:rPr>
                <w:rStyle w:val="FontStyle20"/>
                <w:sz w:val="28"/>
              </w:rPr>
              <w:t xml:space="preserve"> </w:t>
            </w:r>
            <w:proofErr w:type="spellStart"/>
            <w:r>
              <w:rPr>
                <w:rStyle w:val="FontStyle20"/>
                <w:sz w:val="28"/>
              </w:rPr>
              <w:t>Кореновский</w:t>
            </w:r>
            <w:proofErr w:type="spellEnd"/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муниципальный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район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Краснодарского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края</w:t>
            </w:r>
          </w:p>
          <w:p w:rsidR="00000000" w:rsidRDefault="00325EE2">
            <w:pPr>
              <w:pStyle w:val="Style13"/>
            </w:pPr>
            <w:r>
              <w:rPr>
                <w:rStyle w:val="FontStyle20"/>
                <w:sz w:val="28"/>
              </w:rPr>
              <w:t>от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 </w:t>
            </w:r>
            <w:r>
              <w:rPr>
                <w:rStyle w:val="FontStyle20"/>
                <w:sz w:val="28"/>
              </w:rPr>
              <w:t xml:space="preserve"> </w:t>
            </w:r>
            <w:r>
              <w:rPr>
                <w:rStyle w:val="FontStyle20"/>
                <w:sz w:val="28"/>
              </w:rPr>
              <w:t>№</w:t>
            </w:r>
          </w:p>
        </w:tc>
      </w:tr>
    </w:tbl>
    <w:p w:rsidR="00000000" w:rsidRDefault="00325EE2">
      <w:pPr>
        <w:pStyle w:val="Style11"/>
        <w:spacing w:line="240" w:lineRule="exact"/>
        <w:jc w:val="center"/>
        <w:rPr>
          <w:sz w:val="28"/>
          <w:szCs w:val="28"/>
        </w:rPr>
      </w:pPr>
    </w:p>
    <w:p w:rsidR="00000000" w:rsidRDefault="00325EE2">
      <w:pPr>
        <w:pStyle w:val="Style11"/>
        <w:widowControl/>
        <w:spacing w:before="106"/>
        <w:jc w:val="center"/>
      </w:pPr>
      <w:r>
        <w:rPr>
          <w:b/>
          <w:sz w:val="28"/>
          <w:szCs w:val="28"/>
        </w:rPr>
        <w:t>ПРОГНОЗ</w:t>
      </w:r>
    </w:p>
    <w:p w:rsidR="00000000" w:rsidRDefault="00325EE2">
      <w:pPr>
        <w:pStyle w:val="Style11"/>
        <w:widowControl/>
        <w:spacing w:before="106"/>
        <w:jc w:val="center"/>
      </w:pPr>
      <w:r>
        <w:rPr>
          <w:b/>
          <w:sz w:val="28"/>
          <w:szCs w:val="28"/>
        </w:rPr>
        <w:t>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показателей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социально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экономического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долгосрочный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2026-2031 </w:t>
      </w:r>
      <w:r>
        <w:rPr>
          <w:b/>
          <w:sz w:val="28"/>
          <w:szCs w:val="28"/>
        </w:rPr>
        <w:t>годов</w:t>
      </w:r>
    </w:p>
    <w:p w:rsidR="00000000" w:rsidRDefault="00325EE2">
      <w:pPr>
        <w:pStyle w:val="Style10"/>
        <w:widowControl/>
        <w:rPr>
          <w:sz w:val="28"/>
          <w:szCs w:val="28"/>
        </w:rPr>
      </w:pPr>
    </w:p>
    <w:tbl>
      <w:tblPr>
        <w:tblW w:w="14351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851"/>
        <w:gridCol w:w="851"/>
        <w:gridCol w:w="992"/>
        <w:gridCol w:w="849"/>
        <w:gridCol w:w="852"/>
        <w:gridCol w:w="849"/>
        <w:gridCol w:w="852"/>
        <w:gridCol w:w="849"/>
        <w:gridCol w:w="891"/>
        <w:gridCol w:w="851"/>
        <w:gridCol w:w="850"/>
      </w:tblGrid>
      <w:tr w:rsidR="00000000" w:rsidTr="007A579D">
        <w:trPr>
          <w:trHeight w:val="315"/>
        </w:trPr>
        <w:tc>
          <w:tcPr>
            <w:tcW w:w="481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ПОКАЗАТ</w:t>
            </w:r>
            <w:r>
              <w:rPr>
                <w:b/>
                <w:bCs/>
                <w:color w:val="000000"/>
                <w:sz w:val="18"/>
                <w:szCs w:val="18"/>
              </w:rPr>
              <w:t>ЕЛЕЙ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8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2031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2026 </w:t>
            </w:r>
            <w:r>
              <w:rPr>
                <w:b/>
                <w:bCs/>
                <w:sz w:val="18"/>
                <w:szCs w:val="18"/>
              </w:rPr>
              <w:t>г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</w:rPr>
              <w:t xml:space="preserve"> % </w:t>
            </w:r>
            <w:r>
              <w:rPr>
                <w:b/>
                <w:bCs/>
                <w:sz w:val="18"/>
                <w:szCs w:val="18"/>
              </w:rPr>
              <w:t>к 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2024 </w:t>
            </w:r>
            <w:r>
              <w:rPr>
                <w:b/>
                <w:bCs/>
                <w:sz w:val="18"/>
                <w:szCs w:val="18"/>
              </w:rPr>
              <w:t>г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2031 </w:t>
            </w:r>
            <w:r>
              <w:rPr>
                <w:b/>
                <w:bCs/>
                <w:sz w:val="18"/>
                <w:szCs w:val="18"/>
              </w:rPr>
              <w:t>г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</w:rPr>
              <w:t xml:space="preserve"> % </w:t>
            </w:r>
            <w:r>
              <w:rPr>
                <w:b/>
                <w:bCs/>
                <w:sz w:val="18"/>
                <w:szCs w:val="18"/>
              </w:rPr>
              <w:t>к 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2024 </w:t>
            </w:r>
            <w:r>
              <w:rPr>
                <w:b/>
                <w:bCs/>
                <w:sz w:val="18"/>
                <w:szCs w:val="18"/>
              </w:rPr>
              <w:t>г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000000" w:rsidTr="007A579D">
        <w:trPr>
          <w:trHeight w:val="465"/>
        </w:trPr>
        <w:tc>
          <w:tcPr>
            <w:tcW w:w="481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51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00000" w:rsidTr="007A579D">
        <w:trPr>
          <w:trHeight w:val="69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Промышленное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производство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объем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отгруженной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продукции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предприятий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45665,2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51744,5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50863,1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56300,0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60300,0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65180,0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71050,0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77700,0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85200,0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164,7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действ</w:t>
            </w:r>
            <w:r>
              <w:rPr>
                <w:color w:val="000000"/>
                <w:sz w:val="18"/>
                <w:szCs w:val="18"/>
              </w:rPr>
              <w:t>..</w:t>
            </w:r>
            <w:proofErr w:type="gramEnd"/>
            <w:r>
              <w:rPr>
                <w:color w:val="000000"/>
                <w:sz w:val="18"/>
                <w:szCs w:val="18"/>
              </w:rPr>
              <w:t>ценах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предприятиям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руб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43517,6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50044,8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49198,0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54495,1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58377,5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63117,1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68800,0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75250,0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82600,0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165,1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ind w:firstLine="180"/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действ</w:t>
            </w:r>
            <w:r>
              <w:rPr>
                <w:color w:val="000000"/>
                <w:sz w:val="18"/>
                <w:szCs w:val="18"/>
              </w:rPr>
              <w:t>..</w:t>
            </w:r>
            <w:proofErr w:type="gramEnd"/>
            <w:r>
              <w:rPr>
                <w:color w:val="000000"/>
                <w:sz w:val="18"/>
                <w:szCs w:val="18"/>
              </w:rPr>
              <w:t>ценах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56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Объем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продукции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сельского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хозяйства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всех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сельхозпроизводителей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15321,7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19046,3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20690,6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22161,2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23836,4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24536,8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25337,1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26247,1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155,7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113,1</w:t>
            </w:r>
          </w:p>
        </w:tc>
      </w:tr>
      <w:tr w:rsidR="00000000" w:rsidTr="007A579D">
        <w:trPr>
          <w:trHeight w:val="54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Объем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услуг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Транспортировке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хранению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1424,9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830,7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820,1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877,7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955,1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100,2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дейст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297,6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285,7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327,6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432,0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130,3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действ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6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Оборот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розничной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торговли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19991,9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24386,6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27177,9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30306,1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32842,1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35624,5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36630,4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37121,5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37865,4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155,3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118,7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lastRenderedPageBreak/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11524,8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16419,6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18316,7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20386,5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22134,9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24056,2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24532,1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24862,5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25152,9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153,2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119,2</w:t>
            </w:r>
          </w:p>
        </w:tc>
      </w:tr>
      <w:tr w:rsidR="00000000" w:rsidTr="007A579D">
        <w:trPr>
          <w:trHeight w:val="46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Оборот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общественного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питания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996,5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1192,9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1289,0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1313,2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1317,8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153,9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</w:t>
            </w:r>
            <w:r>
              <w:rPr>
                <w:color w:val="000000"/>
                <w:sz w:val="18"/>
                <w:szCs w:val="18"/>
              </w:rPr>
              <w:t>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115,6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300,8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359,4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389,8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401,2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159,6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114,7</w:t>
            </w:r>
          </w:p>
        </w:tc>
      </w:tr>
      <w:tr w:rsidR="00000000" w:rsidTr="007A579D">
        <w:trPr>
          <w:trHeight w:val="936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Инвестиции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основной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капитал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за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счет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всех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источников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финансирования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без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неформальной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экономики</w:t>
            </w:r>
            <w:r>
              <w:rPr>
                <w:b/>
                <w:bCs/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по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полному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кругу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организаций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3599,4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4001,6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4051,0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4243,0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4451,0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4622,0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4739,0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135,2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году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сопост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97,7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из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объема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крупным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средним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организациям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3711,0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3744,0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3912,0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4096,0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4137,0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4215,6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4253,5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128,6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году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сопост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97,2</w:t>
            </w:r>
          </w:p>
        </w:tc>
      </w:tr>
      <w:tr w:rsidR="00000000" w:rsidTr="007A579D">
        <w:trPr>
          <w:trHeight w:val="912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Объем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выполненных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работ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виду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деятельности</w:t>
            </w:r>
            <w:r>
              <w:rPr>
                <w:b/>
                <w:bCs/>
                <w:sz w:val="18"/>
                <w:szCs w:val="18"/>
              </w:rPr>
              <w:t xml:space="preserve"> "</w:t>
            </w:r>
            <w:r>
              <w:rPr>
                <w:b/>
                <w:bCs/>
                <w:sz w:val="18"/>
                <w:szCs w:val="18"/>
              </w:rPr>
              <w:t>строительство</w:t>
            </w:r>
            <w:r>
              <w:rPr>
                <w:b/>
                <w:bCs/>
                <w:sz w:val="18"/>
                <w:szCs w:val="18"/>
              </w:rPr>
              <w:t>" (</w:t>
            </w:r>
            <w:r>
              <w:rPr>
                <w:b/>
                <w:bCs/>
                <w:sz w:val="18"/>
                <w:szCs w:val="18"/>
              </w:rPr>
              <w:t>без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неформальной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экон</w:t>
            </w:r>
            <w:r>
              <w:rPr>
                <w:b/>
                <w:bCs/>
                <w:sz w:val="18"/>
                <w:szCs w:val="18"/>
              </w:rPr>
              <w:t>омики</w:t>
            </w:r>
            <w:r>
              <w:rPr>
                <w:b/>
                <w:bCs/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по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полному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кругу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организаций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1895,9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2224,5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2349,0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2468,0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2598,0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2509,7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2549,0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129,8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году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сопост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103,4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из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объема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крупным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средним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организациям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904,7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156,4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году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сопост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116,4</w:t>
            </w:r>
          </w:p>
        </w:tc>
      </w:tr>
      <w:tr w:rsidR="00000000" w:rsidTr="007A579D">
        <w:trPr>
          <w:trHeight w:val="96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Доходы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предприятий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курор</w:t>
            </w:r>
            <w:r>
              <w:rPr>
                <w:b/>
                <w:bCs/>
                <w:color w:val="000000"/>
                <w:sz w:val="18"/>
                <w:szCs w:val="18"/>
              </w:rPr>
              <w:t>тно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туристического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комплекса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учетом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доходов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малых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предприятий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физических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лиц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126,6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114,8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325EE2">
            <w:pPr>
              <w:jc w:val="center"/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8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доходы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коллективных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средств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размещения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126,6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сопост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114,8</w:t>
            </w:r>
          </w:p>
        </w:tc>
      </w:tr>
      <w:tr w:rsidR="00000000" w:rsidTr="007A579D">
        <w:trPr>
          <w:trHeight w:val="68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Среднегодовой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уровень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регистрируемой 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безработицы 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 </w:t>
            </w:r>
            <w:r>
              <w:rPr>
                <w:b/>
                <w:bCs/>
                <w:color w:val="000000"/>
                <w:sz w:val="18"/>
                <w:szCs w:val="18"/>
              </w:rPr>
              <w:t>к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численности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рабочей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силы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x</w:t>
            </w:r>
          </w:p>
        </w:tc>
      </w:tr>
      <w:tr w:rsidR="00000000" w:rsidTr="007A579D">
        <w:trPr>
          <w:trHeight w:val="46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Сальдированный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финансовый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результат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7798,7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5415,3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5848,9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6297,3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6749,1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7180,0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7635,0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104,2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8122,4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6655,9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4538,5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4903,1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5275,3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5650,3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6020,0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6411,0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102,5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действ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6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Прибыль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прибыльных 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 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предприятий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9351,8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6115,2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6414,8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6743,1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7096,1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7480,0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98,3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5138,9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5387,9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5658,9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5948,7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6260,0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6610,0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6990,0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96,9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действ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6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Убыток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всем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видам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деятельности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699,9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565,9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445,8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347,0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31,4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600,3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484,8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383,6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298,4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30,4</w:t>
            </w:r>
          </w:p>
        </w:tc>
      </w:tr>
      <w:tr w:rsidR="00000000" w:rsidTr="007A579D">
        <w:trPr>
          <w:trHeight w:val="264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году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действ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696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Фонд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заработной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платы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без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централизованного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досчета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млн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12662,1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14290,0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15618,0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17337,0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19025,0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20950,0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217,1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млн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8045,3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9302,4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11073,3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12506,0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13725,9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15235,7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16980,0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19080,0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21550,0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231,7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936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Численность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работающих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для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расчета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среднемесячной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заработной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платы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без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централизованного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досчета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чел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15,420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15,662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16,110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16,715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17,220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17,650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18,105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118,7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из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общего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объема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крупным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средним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организациям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тыс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чел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13,347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13,280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13,522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13,928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14,530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15,211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15,938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16,715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127,5</w:t>
            </w:r>
          </w:p>
        </w:tc>
      </w:tr>
      <w:tr w:rsidR="00000000" w:rsidTr="007A579D">
        <w:trPr>
          <w:trHeight w:val="27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70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Среднемесячная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заработная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плата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полному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кругу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без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централизованного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досчета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49187,9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58157,3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68429,0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76033,3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80788,3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86434,3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92068,3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98914,1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182,8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lastRenderedPageBreak/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8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color w:val="000000"/>
                <w:sz w:val="18"/>
                <w:szCs w:val="18"/>
              </w:rPr>
              <w:t>Среднемесячная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заработная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плата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по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крупным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средним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организациям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50230,5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59110,1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69486,3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77071,9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82124,1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87380,7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93024,8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99761,6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107438,4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181,8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</w:t>
            </w:r>
            <w:r>
              <w:rPr>
                <w:color w:val="000000"/>
                <w:sz w:val="18"/>
                <w:szCs w:val="18"/>
              </w:rPr>
              <w:t>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8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Полная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учетная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стоимость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основных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фондов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конец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года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руб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25191,0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26592,0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28714,0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31014,0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33503,0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36129,0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37965,0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39221,0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40879,0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153,7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8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Количество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субъектов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малого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среднего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предпринимательства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2562,0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2729,0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2748,0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2775,0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2803,0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2838,0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2871,0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2895,0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107,9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525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Среднесписочная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численность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работников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субъектов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МСП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2267,0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2272,0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2292,0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2332,0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2351,0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2370,0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105,1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Tr="007A579D">
        <w:trPr>
          <w:trHeight w:val="480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b/>
                <w:bCs/>
                <w:sz w:val="18"/>
                <w:szCs w:val="18"/>
              </w:rPr>
              <w:t>Среднегодовая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численность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занятых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экономике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тыс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31,389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31,712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32,038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32,368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32,720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33,110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33,520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107,9</w:t>
            </w:r>
          </w:p>
        </w:tc>
      </w:tr>
      <w:tr w:rsidR="00000000" w:rsidTr="007A579D">
        <w:trPr>
          <w:trHeight w:val="288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предыдущему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pPr>
              <w:jc w:val="right"/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325EE2"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325EE2">
      <w:pPr>
        <w:pStyle w:val="Style10"/>
        <w:rPr>
          <w:sz w:val="28"/>
          <w:szCs w:val="28"/>
        </w:rPr>
      </w:pPr>
    </w:p>
    <w:p w:rsidR="00000000" w:rsidRDefault="00325EE2">
      <w:pPr>
        <w:pStyle w:val="Style10"/>
        <w:widowControl/>
        <w:rPr>
          <w:sz w:val="28"/>
          <w:szCs w:val="28"/>
        </w:rPr>
      </w:pPr>
    </w:p>
    <w:p w:rsidR="00000000" w:rsidRDefault="00325EE2">
      <w:pPr>
        <w:pStyle w:val="Style10"/>
        <w:widowControl/>
      </w:pPr>
      <w:r>
        <w:rPr>
          <w:rStyle w:val="FontStyle20"/>
          <w:sz w:val="28"/>
        </w:rPr>
        <w:t>Заместитель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главы</w:t>
      </w:r>
    </w:p>
    <w:p w:rsidR="00000000" w:rsidRDefault="00325EE2">
      <w:pPr>
        <w:pStyle w:val="Style10"/>
        <w:widowControl/>
      </w:pPr>
      <w:r>
        <w:rPr>
          <w:rStyle w:val="FontStyle20"/>
          <w:sz w:val="28"/>
        </w:rPr>
        <w:t>муниципального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образования</w:t>
      </w:r>
    </w:p>
    <w:p w:rsidR="00000000" w:rsidRDefault="00325EE2">
      <w:pPr>
        <w:pStyle w:val="Style10"/>
        <w:widowControl/>
      </w:pPr>
      <w:proofErr w:type="spellStart"/>
      <w:r>
        <w:rPr>
          <w:rStyle w:val="FontStyle20"/>
          <w:sz w:val="28"/>
        </w:rPr>
        <w:t>К</w:t>
      </w:r>
      <w:r>
        <w:rPr>
          <w:rStyle w:val="FontStyle20"/>
          <w:sz w:val="28"/>
        </w:rPr>
        <w:t>ореновский</w:t>
      </w:r>
      <w:proofErr w:type="spellEnd"/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муниципальный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район</w:t>
      </w:r>
    </w:p>
    <w:p w:rsidR="00325EE2" w:rsidRDefault="00325EE2">
      <w:pPr>
        <w:pStyle w:val="Style10"/>
        <w:widowControl/>
      </w:pPr>
      <w:r>
        <w:rPr>
          <w:rStyle w:val="FontStyle20"/>
          <w:sz w:val="28"/>
        </w:rPr>
        <w:t>Краснодарского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края 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 </w:t>
      </w:r>
      <w:r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С</w:t>
      </w:r>
      <w:r>
        <w:rPr>
          <w:rStyle w:val="FontStyle20"/>
          <w:sz w:val="28"/>
        </w:rPr>
        <w:t>.</w:t>
      </w:r>
      <w:r>
        <w:rPr>
          <w:rStyle w:val="FontStyle20"/>
          <w:sz w:val="28"/>
        </w:rPr>
        <w:t>В</w:t>
      </w:r>
      <w:r>
        <w:rPr>
          <w:rStyle w:val="FontStyle20"/>
          <w:sz w:val="28"/>
        </w:rPr>
        <w:t xml:space="preserve">. </w:t>
      </w:r>
      <w:proofErr w:type="spellStart"/>
      <w:r>
        <w:rPr>
          <w:rStyle w:val="FontStyle20"/>
          <w:sz w:val="28"/>
        </w:rPr>
        <w:t>Колупайко</w:t>
      </w:r>
      <w:proofErr w:type="spellEnd"/>
    </w:p>
    <w:sectPr w:rsidR="00325EE2" w:rsidSect="007A579D">
      <w:pgSz w:w="16838" w:h="11906" w:orient="landscape"/>
      <w:pgMar w:top="1701" w:right="1134" w:bottom="567" w:left="113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E2" w:rsidRDefault="00325EE2">
      <w:r>
        <w:separator/>
      </w:r>
    </w:p>
  </w:endnote>
  <w:endnote w:type="continuationSeparator" w:id="0">
    <w:p w:rsidR="00325EE2" w:rsidRDefault="003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E2" w:rsidRDefault="00325EE2">
      <w:r>
        <w:rPr>
          <w:rFonts w:ascii="Liberation Serif" w:eastAsiaTheme="minorEastAsia" w:hAnsi="Liberation Serif" w:cstheme="minorBidi"/>
          <w:kern w:val="0"/>
        </w:rPr>
        <w:separator/>
      </w:r>
    </w:p>
  </w:footnote>
  <w:footnote w:type="continuationSeparator" w:id="0">
    <w:p w:rsidR="00325EE2" w:rsidRDefault="0032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25EE2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17"/>
    <w:rsid w:val="00325EE2"/>
    <w:rsid w:val="00706117"/>
    <w:rsid w:val="007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AB2642-77F3-48CF-80A8-194A62AF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Georgia" w:hAnsi="Georgia" w:cs="Georgia"/>
      <w:color w:val="000000"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  <w:rPr>
      <w:rFonts w:cs="Arial"/>
    </w:rPr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rFonts w:cs="Arial"/>
      <w:i/>
      <w:iCs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firstLine="902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hanging="120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firstLine="408"/>
    </w:pPr>
  </w:style>
  <w:style w:type="paragraph" w:customStyle="1" w:styleId="Style9">
    <w:name w:val="Style9"/>
    <w:basedOn w:val="a"/>
    <w:uiPriority w:val="99"/>
    <w:pPr>
      <w:spacing w:line="322" w:lineRule="exact"/>
      <w:ind w:hanging="120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2" w:lineRule="exact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caeeebeeedf2e8f2f3eb">
    <w:name w:val="Кcaоeeлebоeeнedтf2иe8тf2уf3лeb"/>
    <w:basedOn w:val="a"/>
    <w:uiPriority w:val="99"/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4">
    <w:name w:val="Normal (Web)"/>
    <w:basedOn w:val="a"/>
    <w:uiPriority w:val="99"/>
    <w:pPr>
      <w:widowControl/>
      <w:spacing w:beforeAutospacing="1" w:afterAutospacing="1"/>
    </w:pPr>
  </w:style>
  <w:style w:type="paragraph" w:customStyle="1" w:styleId="c2e5f0f5ede8e9eaeeebeeedf2e8f2f3ebf1ebe5e2e0">
    <w:name w:val="Вc2еe5рf0хf5нedиe8йe9 кeaоeeлebоeeнedтf2иe8тf2уf3лeb сf1лebеe5вe2аe0"/>
    <w:basedOn w:val="c2e5f0f5ede8e9eaeeebeeedf2e8f2f3e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User</cp:lastModifiedBy>
  <cp:revision>4</cp:revision>
  <cp:lastPrinted>2022-12-06T07:32:00Z</cp:lastPrinted>
  <dcterms:created xsi:type="dcterms:W3CDTF">2025-11-17T11:26:00Z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Мисько Анастасия</vt:lpwstr>
  </property>
</Properties>
</file>