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Hlk219191159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Кореновский район от 03 июля 2023 № 1231 «Об утверждении Порядка формирования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отчета об их исполнении»</w:t>
      </w:r>
      <w:bookmarkEnd w:id="0"/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Hlk219196852"/>
      <w:r>
        <w:rPr>
          <w:rFonts w:cs="Times New Roman" w:ascii="Times New Roman" w:hAnsi="Times New Roman"/>
          <w:sz w:val="28"/>
          <w:szCs w:val="28"/>
        </w:rPr>
        <w:t xml:space="preserve">В соответствии с частями 4, 4.3, 5 статьи 6, частью 5 статьи 7  Федерального  закона 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муниципального образования Кореновский муниципальный район Краснодарского края  п о с т а н о в л я е т 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</w:t>
      </w:r>
      <w:bookmarkStart w:id="2" w:name="_Hlk206582451"/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 Кореновский район  от 03.07.2023 № 1231</w:t>
      </w:r>
      <w:r>
        <w:rPr>
          <w:rFonts w:cs="Times New Roman" w:ascii="Times New Roman" w:hAnsi="Times New Roman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исполнении»,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изложить в следующей редакции:</w:t>
      </w:r>
    </w:p>
    <w:p>
      <w:pPr>
        <w:pStyle w:val="Style37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Утвердить: </w:t>
      </w:r>
    </w:p>
    <w:p>
      <w:pPr>
        <w:pStyle w:val="Style37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Порядок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края, формы и сроков формирования отчёта об их исполнении, согласно приложению № 1;</w:t>
      </w:r>
    </w:p>
    <w:p>
      <w:pPr>
        <w:pStyle w:val="Style37"/>
        <w:spacing w:lineRule="atLeast" w:line="288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Форму отчёта об исполнении муниципального социального заказа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края, согласно приложению № 2;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отнесённых к полномочиям администрации муниципального образования Кореновский муниципальный район Краснодарского края, согласно приложению № 3;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 приложению № 4;</w:t>
      </w:r>
    </w:p>
    <w:p>
      <w:pPr>
        <w:pStyle w:val="NoSpacing"/>
        <w:suppressAutoHyphens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 приложению № 5).».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 признать утратившим силу.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Приложения № 1-2 изложить в редакции в соответствии с приложением № 1 к настоящему постановлению.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Дополнить приложениями № 3-5 и изложить их в редакции согласно приложению № 2 к настоящему постановлению.</w:t>
      </w:r>
    </w:p>
    <w:p>
      <w:pPr>
        <w:pStyle w:val="NoSpacing"/>
        <w:suppressAutoHyphens w:val="false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№2 изложить в новой редакции (прилагается).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 и распространяет свое действие на правоотношения, возникшие  с 01 января 2026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03" w:leader="none"/>
          <w:tab w:val="left" w:pos="229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headerReference w:type="first" r:id="rId3"/>
          <w:footerReference w:type="first" r:id="rId4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________  № 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jc w:val="center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«ПРИЛОЖЕНИЕ № 1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03.07. 2023 г. № 1231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Порядок 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Формирования </w:t>
      </w:r>
      <w:r>
        <w:rPr>
          <w:rFonts w:cs="Times New Roman" w:ascii="Times New Roman" w:hAnsi="Times New Roman"/>
          <w:b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cs="Times New Roman" w:ascii="Times New Roman" w:hAnsi="Times New Roman"/>
          <w:b/>
          <w:sz w:val="28"/>
          <w:szCs w:val="28"/>
        </w:rPr>
        <w:t>муниципальных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органов местного самоуправления 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Настоящий Порядок 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 (далее — Порядок) определяет: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 правила формирования и утверждения муниципальных социальных заказов на оказание муниципальных услуг в социальной сфере, отнесенных к полномочиям администрации муниципального образования Кореновский муниципальный район Краснодарского края (далее -администрация);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 органы, уполномоченные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3) право уполномоченных органов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правила взаимодействия уполномоченных органов и органов власти, уполномоченных на формирование муниципальных социальных заказов;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форму и структуру муниципального социального заказа;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6) правила выбора способа (способов) определения исполнителя услуг из числа способов, установленных частью 3 статьи 7 Федерального закона</w:t>
        <w:br/>
        <w:t>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 (далее — муниципальное задание),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7) правила внесения изменений в муниципальные социальные заказы;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8) правила осуществления уполномоченным органом контроля за оказанием муниципальных услуг в социальной сфере;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>9) показатели эффективности организации оказания государственных (муниципальных)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показателей.</w:t>
      </w:r>
    </w:p>
    <w:p>
      <w:pPr>
        <w:pStyle w:val="Style29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>2. Для целей настоящего Порядка используются следующие основные понятия и сокращения:</w:t>
      </w:r>
    </w:p>
    <w:p>
      <w:pPr>
        <w:pStyle w:val="Style29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местный бюджет - местный бюджет (бюджет муниципального образования администрации муниципального образования Кореновский муниципальный район Краснодарского края); </w:t>
      </w:r>
    </w:p>
    <w:p>
      <w:pPr>
        <w:pStyle w:val="Style29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муниципальные услуги в социальной сфере, включенные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 (государственные (муниципальные) услуги в социальной сфере) (далее - муниципальные услуги в социальной сфере), - деятельность, осуществляемая в отношении физических лиц исполнителями услуг в целях осуществления предусмотренных законодательством Российской Федерации полномочий органов местного самоуправления; </w:t>
      </w:r>
    </w:p>
    <w:p>
      <w:pPr>
        <w:pStyle w:val="Style29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муниципальный социальный заказ на оказание муниципальных услуг в социальной сфере (далее - муниципальный социальный заказ) - документ, устанавливающий основные показатели, характеризующие качество оказания муниципальных услуг в социальной сфере и (или) объем оказания таких услуг в количественном выражении, категории потребителей таких услуг, а также содержащий указание на способ определения исполнителя муниципальных услуг в социальной сфере в соответствии с Федеральным законом № 189-ФЗ, обеспечивающий государственные гарантии реализации прав граждан на получение муниципальных услуг; </w:t>
      </w:r>
    </w:p>
    <w:p>
      <w:pPr>
        <w:pStyle w:val="Style29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укрупненная муниципальная услуга -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показателями, характеризующими содержание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укрупненной муниципальной услуги; </w:t>
      </w:r>
    </w:p>
    <w:p>
      <w:pPr>
        <w:pStyle w:val="Style29"/>
        <w:spacing w:lineRule="atLeast" w:line="285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уполномоченный орган на формирование муниципального социального заказа (в порядке ч.5 ст.6 Федерального закона от 13.07.2020 N 189-ФЗ (ред. от 26.12.2024) "О государственном (муниципальном) социальном заказе на оказание государственных (муниципальных) услуг в социальной сфере") - администрация муниципального образования Кореновский муниципальный район Краснодарского края, являющийся главным распорядителем средств местного бюджета, осуществляющий свои функции в установленных сферах деятельности,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в соответствии с показателями, характеризующими качество оказания муниципальных услуг в социальной сфере и (или) объём оказания таких услуг и установленными муниципальным социальным заказом.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Уполномоченный орган, до формирования муниципального социального заказа, размещает на едином портале бюджетной системы Российской Федерации в информационно-телекоммуникационной сети «Интернет» информацию о перечне муниципальных услуг в социальной сфере, в отношении которых формируется муниципальный социальный заказ, 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порядком </w:t>
      </w:r>
      <w:r>
        <w:rPr>
          <w:rFonts w:cs="Times New Roman" w:ascii="Times New Roman" w:hAnsi="Times New Roman"/>
          <w:sz w:val="28"/>
          <w:szCs w:val="28"/>
        </w:rPr>
        <w:t>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в соответствии со статьей 165 Бюджетного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Уполномоченный орган определяется в постановлении администрации об организации оказания соответствующих муниципальных услуг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5. Уполномоченный орган, в соответствии с пунктом 3 части 5 Федерального закона № 189-ФЗ,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передаче полномочий в соответствии с частью 7 статьи 6 Федерального закона № 189-ФЗ на указанные органы распространяются положения Федерального закона, регулирующие деятельность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случаях, предусмотренных частью 7 статьи 9 Федерального закона</w:t>
        <w:br/>
        <w:t>№ 189-ФЗ,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>6.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местного бюджета в соответствии с порядком планирования бюджетных ассигнований местного бюджета и методикой планирования бюджетных ассигнований местного бюджета, определенными управлением финансов администрации в соответствии с бюджетным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7. Муниципальный социальный заказ может быть сформирован в отношении укрупненной муниципальной услуги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>8.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Муниципальный социальный заказ формируется по форме согласно приложению к настоящему Порядку в процессе формирования местного бюджета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>
      <w:pPr>
        <w:pStyle w:val="Style29"/>
        <w:spacing w:lineRule="auto" w:line="240"/>
        <w:ind w:firstLine="539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</w:rPr>
        <w:tab/>
        <w:t>1) общие сведения о муниципальном социальном заказе в очередном финанс</w:t>
      </w:r>
      <w:r>
        <w:rPr>
          <w:rFonts w:eastAsia="Times New Roman"/>
          <w:b w:val="false"/>
          <w:bCs w:val="false"/>
          <w:color w:val="auto"/>
        </w:rPr>
        <w:t>овом году и плановом периоде, а также за пределами планового периода, приведенные в разделе I приложения к настоящему Порядку, который содержит следующие подразделы: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очередной финансовый год, приведенные в подразделе I.I раздела 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первый год планового периода, приведенные в подразделе I.II раздела 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второй год планового периода, приведенные в подразделе I.III раздела 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подразделе I.IV раздела 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разделе II приложения, который содержит следующие подразделы: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подразделе II.I раздела II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подразделе II.II раздела II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подразделе II.III раздела II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подразделе II.IV раздела II приложения;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приложения.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ab/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9. 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Подразделы I.II - </w:t>
      </w:r>
      <w:r>
        <w:rPr>
          <w:rStyle w:val="-"/>
          <w:rFonts w:cs="Times New Roman" w:ascii="Times New Roman" w:hAnsi="Times New Roman"/>
          <w:color w:val="000000"/>
          <w:sz w:val="28"/>
          <w:szCs w:val="28"/>
          <w:lang w:eastAsia="zh-CN"/>
        </w:rPr>
        <w:t>I.IV раздела 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Style w:val="-"/>
          <w:rFonts w:cs="Times New Roman" w:ascii="Times New Roman" w:hAnsi="Times New Roman"/>
          <w:color w:val="000000"/>
          <w:sz w:val="28"/>
          <w:szCs w:val="28"/>
          <w:lang w:eastAsia="zh-CN"/>
        </w:rPr>
        <w:t>подразделы II.I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- </w:t>
      </w:r>
      <w:r>
        <w:rPr>
          <w:rStyle w:val="-"/>
          <w:rFonts w:cs="Times New Roman" w:ascii="Times New Roman" w:hAnsi="Times New Roman"/>
          <w:color w:val="000000"/>
          <w:sz w:val="28"/>
          <w:szCs w:val="28"/>
          <w:lang w:eastAsia="zh-CN"/>
        </w:rPr>
        <w:t>II.IV раздела II</w:t>
      </w:r>
      <w:r>
        <w:rPr>
          <w:rFonts w:cs="Times New Roman" w:ascii="Times New Roman" w:hAnsi="Times New Roman"/>
          <w:color w:val="000000"/>
          <w:sz w:val="28"/>
          <w:szCs w:val="28"/>
          <w:lang w:eastAsia="zh-CN"/>
        </w:rPr>
        <w:t xml:space="preserve"> при</w:t>
      </w:r>
      <w:r>
        <w:rPr>
          <w:rFonts w:cs="Times New Roman" w:ascii="Times New Roman" w:hAnsi="Times New Roman"/>
          <w:sz w:val="28"/>
          <w:szCs w:val="28"/>
          <w:lang w:eastAsia="zh-CN"/>
        </w:rPr>
        <w:t>ложения формируются с учетом срока (предельного срока) оказания муниципальной услуги в социальной сфере (укрупненной муниципальной услуги), установленного в соответствии с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10.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подписания электронной формы документа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11. Показатели, характеризующие объем оказания муниципальной услуги в социальной сфере, определяются уполномоченным органом, на основании: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1) прогнозируемой динамики количества потребителей услуг;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2) уровня удовлетворенности существующим объемом оказания муниципальных услуг в социальной сфере;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auto"/>
        </w:rPr>
      </w:pPr>
      <w:r>
        <w:rPr>
          <w:rFonts w:eastAsia="Times New Roman"/>
          <w:b w:val="false"/>
          <w:bCs w:val="false"/>
          <w:color w:val="auto"/>
        </w:rPr>
        <w:tab/>
        <w:t xml:space="preserve">3) отчета об исполнении муниципального социального заказа, формируемого уполномоченным органом в соответствии с частью 5 статьи 7 Федерального закона № 189-ФЗ в отчетном финансовом году.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12. Основаниями для внесения изменений в утвержденный муниципальный социальный заказ являются: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>изменение значений показателей, характеризующих объем оказания муниципальной услуги в социальной сфере;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r>
        <w:rPr>
          <w:rStyle w:val="-"/>
          <w:rFonts w:eastAsia="Times New Roman" w:cs="Times New Roman" w:ascii="Times New Roman" w:hAnsi="Times New Roman"/>
          <w:sz w:val="28"/>
          <w:szCs w:val="28"/>
          <w:lang w:eastAsia="zh-CN"/>
        </w:rPr>
        <w:t>статьей 9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Федерального закона № 189-ФЗ;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 xml:space="preserve">изменение сведений, включенных в форму муниципального социального </w:t>
      </w:r>
      <w:r>
        <w:rPr>
          <w:rStyle w:val="-"/>
          <w:rFonts w:eastAsia="Times New Roman" w:cs="Times New Roman" w:ascii="Times New Roman" w:hAnsi="Times New Roman"/>
          <w:sz w:val="28"/>
          <w:szCs w:val="28"/>
          <w:lang w:eastAsia="zh-CN"/>
        </w:rPr>
        <w:t>заказа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 xml:space="preserve">13. Уполномоченным органом осуществляется выбор способа определения исполнителей услуг из числа способов, установленных </w:t>
      </w:r>
      <w:r>
        <w:rPr>
          <w:rStyle w:val="-"/>
          <w:rFonts w:cs="Times New Roman" w:ascii="Times New Roman" w:hAnsi="Times New Roman"/>
          <w:sz w:val="28"/>
          <w:szCs w:val="28"/>
          <w:lang w:eastAsia="zh-CN"/>
        </w:rPr>
        <w:t>частью 3 статьи 7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 Федерального закона № 189-ФЗ,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администрации,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>а) доступность муниципальных услуг в социальной сфере, оказываемых муниципальными учреждениями, для потребителей услуг;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 xml:space="preserve">14. По результатам оценки уполномоченным органом значений показателей, указанных в </w:t>
      </w:r>
      <w:r>
        <w:rPr>
          <w:rStyle w:val="ListLabel100"/>
          <w:lang w:eastAsia="zh-CN"/>
        </w:rPr>
        <w:t>пункте 13</w:t>
      </w:r>
      <w:r>
        <w:rPr>
          <w:rFonts w:cs="Times New Roman" w:ascii="Times New Roman" w:hAnsi="Times New Roman"/>
          <w:sz w:val="28"/>
          <w:szCs w:val="28"/>
          <w:lang w:eastAsia="zh-CN"/>
        </w:rPr>
        <w:t xml:space="preserve"> настоящего Порядка: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значение показателя, указанного в </w:t>
      </w:r>
      <w:r>
        <w:rPr>
          <w:rStyle w:val="ListLabel100"/>
        </w:rPr>
        <w:t>подпункте а) пункта 13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значение показателя, указанного в </w:t>
      </w:r>
      <w:r>
        <w:rPr>
          <w:rStyle w:val="ListLabel100"/>
        </w:rPr>
        <w:t>подпункте б) пункта 13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>
      <w:pPr>
        <w:pStyle w:val="ConsPlusNormal"/>
        <w:jc w:val="both"/>
        <w:rPr>
          <w:rFonts w:ascii="Times New Roman" w:hAnsi="Times New Roman" w:eastAsia="Microsoft Sans Serif" w:cs="Times New Roman"/>
          <w:color w:val="000000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zh-CN"/>
        </w:rPr>
        <w:t>Показатели, предусмотренные настоящим пунктом, подлежат общественному обсуждению на заседаниях общественного совета, при уполномоченном органе постановлением администрации (далее – Общественный совет).</w:t>
      </w:r>
    </w:p>
    <w:p>
      <w:pPr>
        <w:pStyle w:val="ConsPlusNormal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eastAsia="Microsoft Sans Serif" w:cs="Times New Roman" w:ascii="Times New Roman" w:hAnsi="Times New Roman"/>
          <w:color w:val="000000"/>
          <w:sz w:val="28"/>
          <w:szCs w:val="28"/>
          <w:lang w:eastAsia="zh-CN"/>
        </w:rPr>
        <w:tab/>
        <w:t xml:space="preserve">15. </w:t>
      </w:r>
      <w:r>
        <w:rPr>
          <w:rFonts w:cs="Times New Roman" w:ascii="Times New Roman" w:hAnsi="Times New Roman"/>
          <w:color w:val="1A1A1A"/>
          <w:sz w:val="28"/>
          <w:szCs w:val="28"/>
        </w:rPr>
        <w:t>В случае если значение показателя, указанного в подпункте а) пункта 13 настоящего Порядка, относится к категории «низкая», а значение показателя, указанного в подпункте б) пункта 13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а) пункта 13 настоящего Порядка, относится к категории «низкая», а значение показателя, указанного в подпункте б) пункта 13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б) пункта 13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а) пункта 13 настоящего Порядка.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а) пункта 13 настоящего Порядка, относится к категории «высокая», а значение показателя, указанного в подпункте б) пункта 13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  <w:t xml:space="preserve">16.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17.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администрации, 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>утвержденной постановлением администрации муниципального образования Кореновский район  от 03.07.2023 № 1231 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администрации муниципального образования Кореновский район, о форме и сроках формирования отчета об их исполнении»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, формирует отчет об исполнении 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по итогам исполнения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социального заказа в отчетном финансовом году в течение 14 рабочих дней со дня предоставления исполнителями услуг отчетов об исполнении соглашений, предусмотренных </w:t>
      </w:r>
      <w:r>
        <w:rPr>
          <w:rStyle w:val="ListLabel370"/>
          <w:rFonts w:eastAsia="Times New Roman"/>
          <w:iCs w:val="false"/>
          <w:color w:val="1A1A1A"/>
          <w:lang w:eastAsia="ru-RU"/>
        </w:rPr>
        <w:t>частью 6 статьи 9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Федерального закона № 189-ФЗ (далее — соглашение), и сведений о достижении показателей, характеризующих качество и (или) объем оказания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муниципальной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услуги в социальной сфере, включенных в отчеты о выполнении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задания </w:t>
      </w: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муниципальных</w:t>
      </w:r>
      <w:r>
        <w:rPr>
          <w:rFonts w:eastAsia="Times New Roman" w:cs="Times New Roman" w:ascii="Times New Roman" w:hAnsi="Times New Roman"/>
          <w:iCs/>
          <w:color w:val="1A1A1A"/>
          <w:sz w:val="28"/>
          <w:szCs w:val="28"/>
          <w:lang w:eastAsia="ru-RU"/>
        </w:rPr>
        <w:t xml:space="preserve"> учреждений, функции и полномочия учредителя которых осуществляет уполномоченный орган.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18.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19.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— проверки).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администрации.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20. Предметом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21.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22.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23. Внеплановые проверки проводятся на основании приказа уполномоченного органа, который должен быть принят в течение пяти рабочих дня со дня возникновения одного из следующих оснований: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в связи с обращениями и требованиями контрольно-надзорных и правоохранительных органов Российской Федерации;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в связи с поступлением в органы администрации заявления потребителя услуг о неоказании или ненадлежащем оказании муниципальных услуг в социальной сфере исполнителем услуг.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24. Проверки подразделяются на: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камеральные проверки, под которыми в целях настоящего Порядка понимаются проверки, проводимые по месту нахождения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выездные проверки, под которыми в целях настоящего Порядка понимаются проверки, проводимые по месту нахождения исполнителя услуг. </w:t>
      </w:r>
    </w:p>
    <w:p>
      <w:pPr>
        <w:pStyle w:val="Style29"/>
        <w:spacing w:lineRule="auto" w:line="240"/>
        <w:ind w:firstLine="540"/>
        <w:jc w:val="both"/>
        <w:rPr>
          <w:b w:val="false"/>
          <w:bCs w:val="false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25.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уполномоченного органа может быть продлен не более чем на 10 рабочих дней в следующих случаях: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26. 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департамента финансов, и направленного по адресу электронной почты исполнителя услуг, или иным доступным способом.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27.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исполнителя услуг, а также другими материалами.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Указанные документы (копии) и материалы прилагаются к акту проверки.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В зависимости от формы проведения проверки в акте проверки указывается место проведения проверки.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28. Акт проверки должен содержать в себе описание нарушений, выявленных в ходе ее проведения.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В описании каждого нарушения, выявленного в ходе проведения проверки, указываются в том числе: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положения нормативных правовых актов, которые были нарушены;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период, к которому относится выявленное нарушение.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29.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30.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ab/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22 настоящего Порядка.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31.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32. На основании акта проверки уполномоченный орган: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— требований к условиям и порядку оказания муниципальной услуги в социальной сфере, установленных уполномоченным органом;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3) принимает решение о возврате средств субсидии в местный бюджет в соответствии с бюджетным законодательством Российской Федерации в случаях, установленных соглашением;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 xml:space="preserve">4) в соответствии с постановлением Правительства Российской Федерации от 07.07.2021 № 1127 «Об утверждении Правил 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здоровью»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 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33. Уполномоченный орган обеспечивает соблюдение требований Федерального закона № 189-ФЗ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  <w:t>34.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с учетом особенностей, установленных частью 8 статьи 6 Федерального за</w:t>
      </w:r>
      <w:r>
        <w:rPr>
          <w:rFonts w:eastAsia="Times New Roman"/>
          <w:b w:val="false"/>
          <w:bCs w:val="false"/>
          <w:lang w:eastAsia="ru-RU"/>
        </w:rPr>
        <w:t>кона, в случае, если они не определены администрацией Краснодарского края</w:t>
      </w:r>
      <w:r>
        <w:rPr>
          <w:rFonts w:eastAsia="Times New Roman"/>
          <w:b w:val="false"/>
          <w:bCs w:val="false"/>
          <w:color w:val="1A1A1A"/>
          <w:lang w:eastAsia="ru-RU"/>
        </w:rPr>
        <w:t>.</w:t>
      </w:r>
    </w:p>
    <w:p>
      <w:pPr>
        <w:pStyle w:val="Style29"/>
        <w:spacing w:lineRule="auto" w:line="240"/>
        <w:ind w:firstLine="540"/>
        <w:jc w:val="both"/>
        <w:rPr>
          <w:rFonts w:eastAsia="Times New Roman"/>
          <w:b w:val="false"/>
          <w:bCs w:val="false"/>
          <w:color w:val="1A1A1A"/>
          <w:lang w:eastAsia="ru-RU"/>
        </w:rPr>
      </w:pPr>
      <w:r>
        <w:rPr>
          <w:rFonts w:eastAsia="Times New Roman"/>
          <w:b w:val="false"/>
          <w:bCs w:val="false"/>
          <w:color w:val="1A1A1A"/>
          <w:lang w:eastAsia="ru-RU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Исполняющий обязанности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начальника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              М.В. Куземченко</w:t>
        <w:tab/>
        <w:tab/>
        <w:tab/>
        <w:tab/>
        <w:tab/>
        <w:tab/>
        <w:t xml:space="preserve"> 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</w:t>
      </w:r>
    </w:p>
    <w:p>
      <w:pPr>
        <w:pStyle w:val="Normal"/>
        <w:tabs>
          <w:tab w:val="clear" w:pos="708"/>
          <w:tab w:val="left" w:pos="993" w:leader="none"/>
          <w:tab w:val="left" w:pos="1276" w:leader="none"/>
          <w:tab w:val="left" w:pos="1701" w:leader="none"/>
        </w:tabs>
        <w:spacing w:lineRule="auto" w:line="240" w:before="0" w:after="0"/>
        <w:ind w:left="10348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56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137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0"/>
        <w:gridCol w:w="959"/>
        <w:gridCol w:w="960"/>
        <w:gridCol w:w="961"/>
        <w:gridCol w:w="959"/>
        <w:gridCol w:w="960"/>
        <w:gridCol w:w="961"/>
        <w:gridCol w:w="960"/>
        <w:gridCol w:w="1240"/>
        <w:gridCol w:w="1419"/>
        <w:gridCol w:w="959"/>
      </w:tblGrid>
      <w:tr>
        <w:trPr>
          <w:trHeight w:val="960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ФОРМА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Муниципальный социальный заказ на оказание муниципальных 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услуг в социальной сфере на 20__ год и на плановый период 20___ - 20___ годов</w:t>
            </w:r>
          </w:p>
        </w:tc>
      </w:tr>
      <w:tr>
        <w:trPr>
          <w:trHeight w:val="288" w:hRule="atLeast"/>
        </w:trPr>
        <w:tc>
          <w:tcPr>
            <w:tcW w:w="13698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 1 _______________ 20___ г.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Коды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</w:tr>
      <w:tr>
        <w:trPr>
          <w:trHeight w:val="288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ОКПО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</w:tr>
      <w:tr>
        <w:trPr>
          <w:trHeight w:val="765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 БК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бюджета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 ОКТМО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</w:tr>
      <w:tr>
        <w:trPr>
          <w:trHeight w:val="912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Статус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00" w:hRule="atLeast"/>
        </w:trPr>
        <w:tc>
          <w:tcPr>
            <w:tcW w:w="3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2"/>
        <w:gridCol w:w="1443"/>
      </w:tblGrid>
      <w:tr>
        <w:trPr>
          <w:trHeight w:val="88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2"/>
        <w:gridCol w:w="1443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1518"/>
        <w:gridCol w:w="1491"/>
        <w:gridCol w:w="1356"/>
        <w:gridCol w:w="1357"/>
        <w:gridCol w:w="728"/>
        <w:gridCol w:w="644"/>
        <w:gridCol w:w="1644"/>
        <w:gridCol w:w="1644"/>
        <w:gridCol w:w="1282"/>
        <w:gridCol w:w="1443"/>
      </w:tblGrid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4599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>
        <w:trPr>
          <w:trHeight w:val="1500" w:hRule="atLeast"/>
        </w:trPr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>
        <w:trPr>
          <w:trHeight w:val="570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</w:tr>
      <w:tr>
        <w:trPr>
          <w:trHeight w:val="3075" w:hRule="atLeast"/>
        </w:trPr>
        <w:tc>
          <w:tcPr>
            <w:tcW w:w="1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конкурсом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социальными сертификатами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>
        <w:trPr>
          <w:trHeight w:val="408" w:hRule="atLeast"/>
        </w:trPr>
        <w:tc>
          <w:tcPr>
            <w:tcW w:w="1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735"/>
        <w:gridCol w:w="943"/>
        <w:gridCol w:w="909"/>
        <w:gridCol w:w="912"/>
        <w:gridCol w:w="947"/>
        <w:gridCol w:w="911"/>
        <w:gridCol w:w="910"/>
        <w:gridCol w:w="911"/>
        <w:gridCol w:w="797"/>
        <w:gridCol w:w="796"/>
        <w:gridCol w:w="477"/>
        <w:gridCol w:w="944"/>
        <w:gridCol w:w="941"/>
        <w:gridCol w:w="760"/>
        <w:gridCol w:w="840"/>
        <w:gridCol w:w="959"/>
      </w:tblGrid>
      <w:tr>
        <w:trPr>
          <w:trHeight w:val="61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33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33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733" w:type="dxa"/>
            <w:gridSpan w:val="1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7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7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735"/>
        <w:gridCol w:w="943"/>
        <w:gridCol w:w="909"/>
        <w:gridCol w:w="912"/>
        <w:gridCol w:w="947"/>
        <w:gridCol w:w="911"/>
        <w:gridCol w:w="910"/>
        <w:gridCol w:w="911"/>
        <w:gridCol w:w="797"/>
        <w:gridCol w:w="796"/>
        <w:gridCol w:w="477"/>
        <w:gridCol w:w="944"/>
        <w:gridCol w:w="941"/>
        <w:gridCol w:w="760"/>
        <w:gridCol w:w="840"/>
        <w:gridCol w:w="959"/>
      </w:tblGrid>
      <w:tr>
        <w:trPr>
          <w:trHeight w:val="765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>
        <w:trPr>
          <w:trHeight w:val="2280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7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55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55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852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870" w:hRule="atLeast"/>
        </w:trPr>
        <w:tc>
          <w:tcPr>
            <w:tcW w:w="14601" w:type="dxa"/>
            <w:gridSpan w:val="1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>
        <w:trPr>
          <w:trHeight w:val="268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07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8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>
        <w:trPr>
          <w:trHeight w:val="63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2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9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9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конкурсом</w:t>
            </w:r>
          </w:p>
        </w:tc>
        <w:tc>
          <w:tcPr>
            <w:tcW w:w="8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 соответствии с социальными сертификатами</w:t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3060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9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405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7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99"/>
        <w:gridCol w:w="1023"/>
        <w:gridCol w:w="1350"/>
        <w:gridCol w:w="1299"/>
        <w:gridCol w:w="1298"/>
        <w:gridCol w:w="1300"/>
        <w:gridCol w:w="1299"/>
        <w:gridCol w:w="1120"/>
        <w:gridCol w:w="1149"/>
        <w:gridCol w:w="624"/>
        <w:gridCol w:w="1419"/>
        <w:gridCol w:w="1420"/>
      </w:tblGrid>
      <w:tr>
        <w:trPr>
          <w:trHeight w:val="1215" w:hRule="atLeast"/>
        </w:trPr>
        <w:tc>
          <w:tcPr>
            <w:tcW w:w="14600" w:type="dxa"/>
            <w:gridSpan w:val="1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>
        <w:trPr>
          <w:trHeight w:val="2070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2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Уникальный номер реестровой записи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29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289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>
        <w:trPr>
          <w:trHeight w:val="45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2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7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единица измерения</w:t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430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2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код по ОКЕИ</w:t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12</w:t>
            </w:r>
          </w:p>
        </w:tc>
      </w:tr>
      <w:tr>
        <w:trPr>
          <w:trHeight w:val="1575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2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2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2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2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</w:t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288" w:hRule="atLeast"/>
        </w:trPr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   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29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0"/>
        <w:gridCol w:w="4696"/>
        <w:gridCol w:w="2052"/>
        <w:gridCol w:w="3212"/>
      </w:tblGrid>
      <w:tr>
        <w:trPr>
          <w:trHeight w:val="864" w:hRule="atLeast"/>
        </w:trPr>
        <w:tc>
          <w:tcPr>
            <w:tcW w:w="30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Руководитель (уполномоченное лицо)</w:t>
            </w:r>
          </w:p>
        </w:tc>
        <w:tc>
          <w:tcPr>
            <w:tcW w:w="46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 (должность)</w:t>
            </w:r>
          </w:p>
        </w:tc>
        <w:tc>
          <w:tcPr>
            <w:tcW w:w="20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 (подпись)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_____________ (Ф.И.О.)</w:t>
            </w:r>
          </w:p>
        </w:tc>
      </w:tr>
      <w:tr>
        <w:trPr>
          <w:trHeight w:val="288" w:hRule="atLeast"/>
        </w:trPr>
        <w:tc>
          <w:tcPr>
            <w:tcW w:w="30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"   "                     20___г.</w:t>
            </w:r>
          </w:p>
        </w:tc>
        <w:tc>
          <w:tcPr>
            <w:tcW w:w="46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0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773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widowControl w:val="false"/>
        <w:spacing w:lineRule="auto" w:line="240" w:before="0" w:after="0"/>
        <w:ind w:left="10348" w:hanging="0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ind w:left="10348" w:hanging="0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10348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________  № 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348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348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«ПРИЛОЖЕНИЕ № 3</w:t>
      </w:r>
    </w:p>
    <w:p>
      <w:pPr>
        <w:pStyle w:val="Normal"/>
        <w:widowControl w:val="false"/>
        <w:spacing w:lineRule="auto" w:line="240" w:before="0" w:after="0"/>
        <w:ind w:left="10348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uto" w:line="240" w:before="0" w:after="0"/>
        <w:ind w:left="10348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от 03.07. 2023 г. № 1231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Отчет </w:t>
      </w:r>
    </w:p>
    <w:p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услуг, отнесенных к полномочияморганов местного самоуправления муниципального образования,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на 20__ год и на плановый период 20__ - 20__ годов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w:anchor="P1640">
        <w:r>
          <w:rPr>
            <w:rFonts w:cs="Times New Roman" w:ascii="Times New Roman" w:hAnsi="Times New Roman"/>
            <w:sz w:val="28"/>
            <w:szCs w:val="28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 «___» ________ 20__ года </w:t>
      </w:r>
      <w:hyperlink w:anchor="P1641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95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3685"/>
        <w:gridCol w:w="5874"/>
        <w:gridCol w:w="2127"/>
        <w:gridCol w:w="2267"/>
      </w:tblGrid>
      <w:tr>
        <w:trPr>
          <w:trHeight w:val="491" w:hRule="atLeast"/>
        </w:trPr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КОДЫ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Форма </w:t>
            </w:r>
            <w:hyperlink r:id="rId9">
              <w:r>
                <w:rPr>
                  <w:rFonts w:cs="Times New Roman" w:ascii="Times New Roman" w:hAnsi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Уполномоченный орган </w:t>
            </w:r>
            <w:hyperlink r:id="rId10">
              <w:r>
                <w:rPr>
                  <w:rFonts w:cs="Times New Roman"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Глава БК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8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Отрасль социальной сферы </w:t>
            </w:r>
            <w:hyperlink r:id="rId11">
              <w:r>
                <w:rPr>
                  <w:rFonts w:cs="Times New Roman"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Периодичность </w:t>
            </w:r>
            <w:hyperlink r:id="rId12">
              <w:r>
                <w:rPr>
                  <w:rFonts w:cs="Times New Roman"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объем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left="13041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таблица 1</w:t>
      </w:r>
    </w:p>
    <w:tbl>
      <w:tblPr>
        <w:tblW w:w="1469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7"/>
        <w:gridCol w:w="851"/>
        <w:gridCol w:w="708"/>
        <w:gridCol w:w="710"/>
        <w:gridCol w:w="707"/>
        <w:gridCol w:w="710"/>
        <w:gridCol w:w="708"/>
        <w:gridCol w:w="851"/>
        <w:gridCol w:w="708"/>
        <w:gridCol w:w="710"/>
        <w:gridCol w:w="708"/>
        <w:gridCol w:w="692"/>
        <w:gridCol w:w="442"/>
        <w:gridCol w:w="772"/>
        <w:gridCol w:w="875"/>
        <w:gridCol w:w="678"/>
        <w:gridCol w:w="736"/>
        <w:gridCol w:w="880"/>
        <w:gridCol w:w="880"/>
        <w:gridCol w:w="877"/>
      </w:tblGrid>
      <w:tr>
        <w:trPr>
          <w:cantSplit w:val="true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Место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>
                <w:rPr>
                  <w:rFonts w:cs="Times New Roman"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>
                <w:rPr>
                  <w:rFonts w:cs="Times New Roman"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0">
              <w:r>
                <w:rPr>
                  <w:rFonts w:cs="Times New Roman"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всего </w:t>
            </w:r>
            <w:hyperlink w:anchor="P1651">
              <w:r>
                <w:rPr>
                  <w:rFonts w:cs="Times New Roman" w:ascii="Times New Roman" w:hAnsi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3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</w:tr>
      <w:tr>
        <w:trPr>
          <w:cantSplit w:val="true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Сведения о фактическом достижении показателей,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характеризующих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2</w:t>
      </w:r>
    </w:p>
    <w:tbl>
      <w:tblPr>
        <w:tblpPr w:bottomFromText="0" w:horzAnchor="page" w:leftFromText="180" w:rightFromText="180" w:tblpX="1259" w:tblpY="48" w:topFromText="0" w:vertAnchor="text"/>
        <w:tblW w:w="1395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71"/>
        <w:gridCol w:w="709"/>
        <w:gridCol w:w="849"/>
        <w:gridCol w:w="709"/>
        <w:gridCol w:w="992"/>
        <w:gridCol w:w="709"/>
        <w:gridCol w:w="851"/>
        <w:gridCol w:w="709"/>
        <w:gridCol w:w="709"/>
        <w:gridCol w:w="851"/>
        <w:gridCol w:w="707"/>
        <w:gridCol w:w="993"/>
        <w:gridCol w:w="1276"/>
        <w:gridCol w:w="993"/>
        <w:gridCol w:w="1133"/>
        <w:gridCol w:w="987"/>
      </w:tblGrid>
      <w:tr>
        <w:trPr/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Условия (формы)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>
                <w:rPr>
                  <w:rFonts w:cs="Times New Roman" w:ascii="Times New Roman" w:hAnsi="Times New Roman"/>
                  <w:sz w:val="16"/>
                  <w:szCs w:val="16"/>
                </w:rPr>
                <w:t>&lt;10&gt;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 "__" ____ 20_ год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1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>
                <w:rPr>
                  <w:rFonts w:cs="Times New Roman"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>
                <w:rPr>
                  <w:rFonts w:cs="Times New Roman" w:ascii="Times New Roman" w:hAnsi="Times New Roman"/>
                  <w:sz w:val="16"/>
                  <w:szCs w:val="16"/>
                </w:rPr>
                <w:t>&lt;16&gt;</w:t>
              </w:r>
            </w:hyperlink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4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21">
              <w:r>
                <w:rPr>
                  <w:rFonts w:cs="Times New Roman"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</w:tr>
      <w:tr>
        <w:trPr/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Сведения о плановых показателях, характеризующих объем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качество оказания муниципальной услуги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 (муниципальных услуг в социальной сфере,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«__ » _________ 20__ года </w:t>
      </w:r>
      <w:hyperlink w:anchor="P1656">
        <w:r>
          <w:rPr>
            <w:rFonts w:cs="Times New Roman" w:ascii="Times New Roman" w:hAnsi="Times New Roman"/>
            <w:sz w:val="28"/>
            <w:szCs w:val="28"/>
          </w:rPr>
          <w:t>&lt;2&gt;</w:t>
        </w:r>
      </w:hyperlink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(укрупненной муниципальной услуги) </w:t>
      </w:r>
      <w:hyperlink w:anchor="P1656">
        <w:r>
          <w:rPr>
            <w:rFonts w:cs="Times New Roman" w:ascii="Times New Roman" w:hAnsi="Times New Roman"/>
          </w:rPr>
          <w:t>&lt;17&gt;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таблица 3</w:t>
      </w:r>
    </w:p>
    <w:tbl>
      <w:tblPr>
        <w:tblW w:w="153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44"/>
        <w:gridCol w:w="687"/>
        <w:gridCol w:w="613"/>
        <w:gridCol w:w="685"/>
        <w:gridCol w:w="546"/>
        <w:gridCol w:w="530"/>
        <w:gridCol w:w="555"/>
        <w:gridCol w:w="400"/>
        <w:gridCol w:w="698"/>
        <w:gridCol w:w="697"/>
        <w:gridCol w:w="685"/>
        <w:gridCol w:w="597"/>
        <w:gridCol w:w="610"/>
        <w:gridCol w:w="437"/>
        <w:gridCol w:w="652"/>
        <w:gridCol w:w="752"/>
        <w:gridCol w:w="597"/>
        <w:gridCol w:w="610"/>
        <w:gridCol w:w="506"/>
        <w:gridCol w:w="581"/>
        <w:gridCol w:w="749"/>
        <w:gridCol w:w="566"/>
        <w:gridCol w:w="939"/>
        <w:gridCol w:w="709"/>
        <w:gridCol w:w="428"/>
      </w:tblGrid>
      <w:tr>
        <w:trPr/>
        <w:tc>
          <w:tcPr>
            <w:tcW w:w="2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>
                <w:rPr>
                  <w:rFonts w:cs="Times New Roman" w:ascii="Times New Roman" w:hAnsi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&lt;21&gt;</w:t>
              </w:r>
            </w:hyperlink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ind w:right="-74" w:hanging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5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6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17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right="-62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  <w:bookmarkStart w:id="8" w:name="P965"/>
            <w:bookmarkStart w:id="9" w:name="P965"/>
            <w:bookmarkEnd w:id="9"/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  <w:bookmarkStart w:id="10" w:name="P965"/>
            <w:bookmarkStart w:id="11" w:name="P965"/>
            <w:bookmarkEnd w:id="11"/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6" w:hRule="atLeast"/>
        </w:trPr>
        <w:tc>
          <w:tcPr>
            <w:tcW w:w="544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8"/>
                <w:tab w:val="left" w:pos="78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укрупненной муниципальной услуге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restart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16" w:hRule="atLeast"/>
        </w:trPr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8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8" w:type="dxa"/>
            <w:vMerge w:val="continue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03" w:gutter="0" w:header="568" w:top="625" w:footer="0" w:bottom="426"/>
          <w:pgNumType w:start="1" w:fmt="decimal"/>
          <w:formProt w:val="false"/>
          <w:titlePg/>
          <w:textDirection w:val="lrTb"/>
          <w:docGrid w:type="default" w:linePitch="381" w:charSpace="4096"/>
        </w:sectPr>
      </w:pP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  <w:bookmarkStart w:id="12" w:name="P1224"/>
      <w:bookmarkStart w:id="13" w:name="P1224"/>
      <w:bookmarkEnd w:id="13"/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Сведения о фактических показателях, характеризующих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и качество оказания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социальной сфере (муниципальных услуг в социальной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сфере, составляющих укрупненную муниципальную услугу),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"__" _________ 20__ года</w:t>
      </w:r>
    </w:p>
    <w:p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Наименование муниципальной услуги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(укрупненной муниципальной услуги)</w:t>
      </w:r>
    </w:p>
    <w:p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hyperlink w:anchor="P732">
        <w:r>
          <w:rPr>
            <w:rFonts w:cs="Times New Roman" w:ascii="Times New Roman" w:hAnsi="Times New Roman"/>
            <w:szCs w:val="28"/>
          </w:rPr>
          <w:t>&lt;17&gt;</w:t>
        </w:r>
      </w:hyperlink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tabs>
          <w:tab w:val="clear" w:pos="708"/>
          <w:tab w:val="left" w:pos="14034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W w:w="14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9"/>
        <w:gridCol w:w="611"/>
        <w:gridCol w:w="547"/>
        <w:gridCol w:w="613"/>
        <w:gridCol w:w="489"/>
        <w:gridCol w:w="613"/>
        <w:gridCol w:w="386"/>
        <w:gridCol w:w="352"/>
        <w:gridCol w:w="623"/>
        <w:gridCol w:w="622"/>
        <w:gridCol w:w="611"/>
        <w:gridCol w:w="535"/>
        <w:gridCol w:w="546"/>
        <w:gridCol w:w="310"/>
        <w:gridCol w:w="668"/>
        <w:gridCol w:w="670"/>
        <w:gridCol w:w="533"/>
        <w:gridCol w:w="548"/>
        <w:gridCol w:w="309"/>
        <w:gridCol w:w="666"/>
        <w:gridCol w:w="668"/>
        <w:gridCol w:w="506"/>
        <w:gridCol w:w="566"/>
        <w:gridCol w:w="670"/>
        <w:gridCol w:w="668"/>
        <w:gridCol w:w="669"/>
        <w:gridCol w:w="487"/>
      </w:tblGrid>
      <w:tr>
        <w:trPr/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Содержание муниципальной услуги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&lt;20&gt;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>
                <w:rPr>
                  <w:rFonts w:cs="Times New Roman" w:ascii="Times New Roman" w:hAnsi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>
                <w:rPr>
                  <w:rFonts w:cs="Times New Roman" w:ascii="Times New Roman" w:hAnsi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>
                <w:rPr>
                  <w:rFonts w:cs="Times New Roman" w:ascii="Times New Roman" w:hAnsi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>
                <w:rPr>
                  <w:rFonts w:cs="Times New Roman" w:ascii="Times New Roman" w:hAnsi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Причина превышения</w:t>
            </w:r>
          </w:p>
        </w:tc>
      </w:tr>
      <w:tr>
        <w:trPr/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>
                <w:rPr>
                  <w:rFonts w:cs="Times New Roman" w:ascii="Times New Roman" w:hAnsi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2">
              <w:r>
                <w:rPr>
                  <w:rFonts w:cs="Times New Roman" w:ascii="Times New Roman" w:hAnsi="Times New Roman"/>
                  <w:sz w:val="16"/>
                  <w:szCs w:val="16"/>
                </w:rPr>
                <w:t>ОКОПФ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7">
              <w:r>
                <w:rPr>
                  <w:rFonts w:cs="Times New Roman"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3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Наименование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Код по </w:t>
            </w:r>
            <w:hyperlink r:id="rId24">
              <w:r>
                <w:rPr>
                  <w:rFonts w:cs="Times New Roman" w:ascii="Times New Roman" w:hAnsi="Times New Roman"/>
                  <w:sz w:val="16"/>
                  <w:szCs w:val="16"/>
                </w:rPr>
                <w:t>ОКЕИ</w:t>
              </w:r>
            </w:hyperlink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hyperlink w:anchor="P733">
              <w:r>
                <w:rPr>
                  <w:rFonts w:cs="Times New Roman"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0"/>
            <w:bookmarkEnd w:id="14"/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1285"/>
            <w:bookmarkEnd w:id="15"/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1288"/>
            <w:bookmarkEnd w:id="16"/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P1289"/>
            <w:bookmarkEnd w:id="17"/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ConsPlusNormal"/>
        <w:tabs>
          <w:tab w:val="clear" w:pos="708"/>
          <w:tab w:val="left" w:pos="140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Руководитель (уполномоченное лицо) ________________ ______________ 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 xml:space="preserve">                                     </w:t>
      </w:r>
      <w:r>
        <w:rPr>
          <w:rFonts w:cs="Times New Roman" w:ascii="Times New Roman" w:hAnsi="Times New Roman"/>
          <w:sz w:val="16"/>
        </w:rPr>
        <w:t>(должность)      (подпись)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</w:rPr>
        <w:t>«_______» ___________ 20___ года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</w:t>
      </w:r>
    </w:p>
    <w:p>
      <w:pPr>
        <w:sectPr>
          <w:headerReference w:type="default" r:id="rId25"/>
          <w:headerReference w:type="first" r:id="rId26"/>
          <w:footerReference w:type="default" r:id="rId27"/>
          <w:footerReference w:type="first" r:id="rId28"/>
          <w:type w:val="nextPage"/>
          <w:pgSz w:orient="landscape" w:w="16838" w:h="11906"/>
          <w:pgMar w:left="1134" w:right="1134" w:gutter="0" w:header="0" w:top="851" w:footer="0" w:bottom="1418"/>
          <w:pgNumType w:start="7" w:fmt="decimal"/>
          <w:formProt w:val="false"/>
          <w:textDirection w:val="lrTb"/>
          <w:docGrid w:type="default" w:linePitch="381" w:charSpace="4096"/>
        </w:sect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0"/>
      <w:bookmarkEnd w:id="18"/>
      <w:r>
        <w:rPr>
          <w:rFonts w:cs="Times New Roman" w:ascii="Times New Roman" w:hAnsi="Times New Roman"/>
          <w:sz w:val="27"/>
          <w:szCs w:val="27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1"/>
      <w:bookmarkEnd w:id="19"/>
      <w:r>
        <w:rPr>
          <w:rFonts w:cs="Times New Roman" w:ascii="Times New Roman" w:hAnsi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муниципального образования.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2"/>
      <w:bookmarkEnd w:id="20"/>
      <w:r>
        <w:rPr>
          <w:rFonts w:cs="Times New Roman" w:ascii="Times New Roman" w:hAnsi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3"/>
      <w:bookmarkEnd w:id="21"/>
      <w:r>
        <w:rPr>
          <w:rFonts w:cs="Times New Roman" w:ascii="Times New Roman" w:hAnsi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4"/>
      <w:bookmarkEnd w:id="22"/>
      <w:r>
        <w:rPr>
          <w:rFonts w:cs="Times New Roman" w:ascii="Times New Roman" w:hAnsi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5"/>
      <w:bookmarkEnd w:id="23"/>
      <w:r>
        <w:rPr>
          <w:rFonts w:cs="Times New Roman" w:ascii="Times New Roman" w:hAnsi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>
          <w:rPr>
            <w:rFonts w:cs="Times New Roman" w:ascii="Times New Roman" w:hAnsi="Times New Roman"/>
            <w:sz w:val="27"/>
            <w:szCs w:val="27"/>
          </w:rPr>
          <w:t>раздел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29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46"/>
      <w:bookmarkEnd w:id="24"/>
      <w:r>
        <w:rPr>
          <w:rFonts w:cs="Times New Roman" w:ascii="Times New Roman" w:hAnsi="Times New Roman"/>
          <w:sz w:val="27"/>
          <w:szCs w:val="27"/>
        </w:rPr>
        <w:t>&lt;7&gt; Рассчитывается как сумма показателей граф 8, 9, 10 и 11.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47"/>
      <w:bookmarkEnd w:id="25"/>
      <w:r>
        <w:rPr>
          <w:rFonts w:cs="Times New Roman" w:ascii="Times New Roman" w:hAnsi="Times New Roman"/>
          <w:sz w:val="27"/>
          <w:szCs w:val="27"/>
        </w:rPr>
        <w:t>&lt;9&gt; Рассчитывается как сумма показателей граф 14, 15, 16 и 17.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&lt;10&gt; </w:t>
      </w:r>
      <w:bookmarkStart w:id="26" w:name="P1650"/>
      <w:bookmarkEnd w:id="26"/>
      <w:r>
        <w:rPr>
          <w:rFonts w:cs="Times New Roman" w:ascii="Times New Roman" w:hAnsi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в соответствии с общими </w:t>
      </w:r>
      <w:hyperlink r:id="rId30">
        <w:r>
          <w:rPr>
            <w:rFonts w:cs="Times New Roman" w:ascii="Times New Roman" w:hAnsi="Times New Roman"/>
            <w:sz w:val="27"/>
            <w:szCs w:val="27"/>
          </w:rPr>
          <w:t>требованиями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3"/>
      <w:bookmarkEnd w:id="27"/>
      <w:r>
        <w:rPr>
          <w:rFonts w:cs="Times New Roman" w:ascii="Times New Roman" w:hAnsi="Times New Roman"/>
          <w:sz w:val="27"/>
          <w:szCs w:val="27"/>
        </w:rPr>
        <w:t>&lt;11&gt; Указывается разница граф 13 и 7.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&lt;14&gt; Рассчитывается как разница граф 11 и 12.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4"/>
      <w:bookmarkEnd w:id="28"/>
      <w:r>
        <w:rPr>
          <w:rFonts w:cs="Times New Roman" w:ascii="Times New Roman" w:hAnsi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bookmarkStart w:id="29" w:name="P1655"/>
      <w:bookmarkEnd w:id="29"/>
      <w:r>
        <w:rPr>
          <w:rFonts w:cs="Times New Roman" w:ascii="Times New Roman" w:hAnsi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>
          <w:rPr>
            <w:rFonts w:cs="Times New Roman" w:ascii="Times New Roman" w:hAnsi="Times New Roman"/>
            <w:sz w:val="27"/>
            <w:szCs w:val="27"/>
          </w:rPr>
          <w:t>разделе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bookmarkStart w:id="30" w:name="P1656"/>
      <w:bookmarkEnd w:id="30"/>
      <w:r>
        <w:rPr>
          <w:rFonts w:cs="Times New Roman" w:ascii="Times New Roman" w:hAnsi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7"/>
      <w:bookmarkEnd w:id="31"/>
      <w:r>
        <w:rPr>
          <w:rFonts w:cs="Times New Roman" w:ascii="Times New Roman" w:hAnsi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58"/>
      <w:bookmarkEnd w:id="32"/>
      <w:r>
        <w:rPr>
          <w:rFonts w:cs="Times New Roman" w:ascii="Times New Roman" w:hAnsi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31">
        <w:r>
          <w:rPr>
            <w:rFonts w:cs="Times New Roman" w:ascii="Times New Roman" w:hAnsi="Times New Roman"/>
            <w:sz w:val="27"/>
            <w:szCs w:val="27"/>
          </w:rPr>
          <w:t>частью 6 статьи 9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59"/>
      <w:bookmarkEnd w:id="33"/>
      <w:r>
        <w:rPr>
          <w:rFonts w:cs="Times New Roman" w:ascii="Times New Roman" w:hAnsi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0"/>
      <w:bookmarkEnd w:id="34"/>
      <w:r>
        <w:rPr>
          <w:rFonts w:cs="Times New Roman" w:ascii="Times New Roman" w:hAnsi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1"/>
      <w:bookmarkEnd w:id="35"/>
      <w:r>
        <w:rPr>
          <w:rFonts w:cs="Times New Roman" w:ascii="Times New Roman" w:hAnsi="Times New Roman"/>
          <w:sz w:val="27"/>
          <w:szCs w:val="27"/>
        </w:rPr>
        <w:t xml:space="preserve">&lt;22&gt; </w:t>
      </w:r>
      <w:bookmarkStart w:id="36" w:name="P1662"/>
      <w:bookmarkEnd w:id="36"/>
      <w:r>
        <w:rPr>
          <w:rFonts w:cs="Times New Roman" w:ascii="Times New Roman" w:hAnsi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3"/>
      <w:bookmarkEnd w:id="37"/>
      <w:r>
        <w:rPr>
          <w:rFonts w:cs="Times New Roman" w:ascii="Times New Roman" w:hAnsi="Times New Roman"/>
          <w:sz w:val="27"/>
          <w:szCs w:val="27"/>
        </w:rPr>
        <w:t xml:space="preserve">&lt;24&gt; Указывается как разница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4"/>
      <w:bookmarkEnd w:id="38"/>
      <w:r>
        <w:rPr>
          <w:rFonts w:cs="Times New Roman" w:ascii="Times New Roman" w:hAnsi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9" w:name="P1665"/>
      <w:bookmarkEnd w:id="39"/>
      <w:r>
        <w:rPr>
          <w:rFonts w:cs="Times New Roman" w:ascii="Times New Roman" w:hAnsi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IV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>
          <w:rPr>
            <w:rFonts w:cs="Times New Roman" w:ascii="Times New Roman" w:hAnsi="Times New Roman"/>
            <w:sz w:val="27"/>
            <w:szCs w:val="27"/>
          </w:rPr>
          <w:t xml:space="preserve">граф </w:t>
        </w:r>
      </w:hyperlink>
      <w:r>
        <w:rPr>
          <w:rFonts w:cs="Times New Roman" w:ascii="Times New Roman" w:hAnsi="Times New Roman"/>
          <w:sz w:val="27"/>
          <w:szCs w:val="27"/>
        </w:rPr>
        <w:t xml:space="preserve">20 – 23  раздела </w:t>
      </w:r>
      <w:r>
        <w:rPr>
          <w:rFonts w:cs="Times New Roman" w:ascii="Times New Roman" w:hAnsi="Times New Roman"/>
          <w:sz w:val="27"/>
          <w:szCs w:val="27"/>
          <w:lang w:val="en-US"/>
        </w:rPr>
        <w:t>III</w:t>
      </w:r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0" w:name="P1666"/>
      <w:bookmarkEnd w:id="40"/>
      <w:r>
        <w:rPr>
          <w:rFonts w:cs="Times New Roman" w:ascii="Times New Roman" w:hAnsi="Times New Roman"/>
          <w:sz w:val="27"/>
          <w:szCs w:val="27"/>
        </w:rPr>
        <w:t xml:space="preserve">&lt;27&gt; Рассчитывается как разница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, </w:t>
      </w:r>
      <w:hyperlink w:anchor="P1280">
        <w:r>
          <w:rPr>
            <w:rFonts w:cs="Times New Roman" w:ascii="Times New Roman" w:hAnsi="Times New Roman"/>
            <w:sz w:val="27"/>
            <w:szCs w:val="27"/>
          </w:rPr>
          <w:t>графы 15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57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графы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>
          <w:rPr>
            <w:rFonts w:cs="Times New Roman" w:ascii="Times New Roman" w:hAnsi="Times New Roman"/>
            <w:sz w:val="27"/>
            <w:szCs w:val="27"/>
          </w:rPr>
          <w:t>графы 14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 на </w:t>
      </w:r>
      <w:hyperlink w:anchor="P956">
        <w:r>
          <w:rPr>
            <w:rFonts w:cs="Times New Roman" w:ascii="Times New Roman" w:hAnsi="Times New Roman"/>
            <w:sz w:val="27"/>
            <w:szCs w:val="27"/>
          </w:rPr>
          <w:t>графу 15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документа).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1" w:name="P1667"/>
      <w:bookmarkEnd w:id="41"/>
      <w:r>
        <w:rPr>
          <w:rFonts w:cs="Times New Roman" w:ascii="Times New Roman" w:hAnsi="Times New Roman"/>
          <w:sz w:val="27"/>
          <w:szCs w:val="27"/>
        </w:rPr>
        <w:t xml:space="preserve">&lt;28&gt; Рассчитывается как разница </w:t>
      </w:r>
      <w:hyperlink w:anchor="P1289">
        <w:r>
          <w:rPr>
            <w:rFonts w:cs="Times New Roman" w:ascii="Times New Roman" w:hAnsi="Times New Roman"/>
            <w:sz w:val="27"/>
            <w:szCs w:val="27"/>
          </w:rPr>
          <w:t>графы 24 раздела IV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и </w:t>
      </w:r>
      <w:hyperlink w:anchor="P965">
        <w:r>
          <w:rPr>
            <w:rFonts w:cs="Times New Roman" w:ascii="Times New Roman" w:hAnsi="Times New Roman"/>
            <w:sz w:val="27"/>
            <w:szCs w:val="27"/>
          </w:rPr>
          <w:t>графы 24 раздела III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настоящего документа.</w:t>
      </w:r>
    </w:p>
    <w:p>
      <w:pPr>
        <w:pStyle w:val="ConsPlusNormal"/>
        <w:spacing w:before="280" w:after="0"/>
        <w:ind w:firstLine="709"/>
        <w:contextualSpacing/>
        <w:jc w:val="both"/>
        <w:rPr>
          <w:rFonts w:ascii="Times New Roman" w:hAnsi="Times New Roman" w:cs="Times New Roman"/>
        </w:rPr>
      </w:pPr>
      <w:bookmarkStart w:id="42" w:name="P1668"/>
      <w:bookmarkEnd w:id="42"/>
      <w:r>
        <w:rPr>
          <w:rFonts w:cs="Times New Roman" w:ascii="Times New Roman" w:hAnsi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1276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w="11906" w:h="16838"/>
          <w:pgMar w:left="1276" w:right="850" w:gutter="0" w:header="0" w:top="851" w:footer="708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773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43" w:name="_Hlk190278234"/>
      <w:bookmarkEnd w:id="43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4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________  № 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 xml:space="preserve">Показатели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1"/>
        <w:tblpPr w:bottomFromText="0" w:horzAnchor="text" w:leftFromText="180" w:rightFromText="180" w:tblpX="-5" w:tblpY="1" w:topFromText="0" w:vertAnchor="text"/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7826"/>
        <w:gridCol w:w="1559"/>
        <w:gridCol w:w="1559"/>
        <w:gridCol w:w="3119"/>
      </w:tblGrid>
      <w:tr>
        <w:trPr>
          <w:tblHeader w:val="true"/>
        </w:trPr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Базовая величина</w:t>
            </w:r>
            <w:r>
              <w:rPr>
                <w:rStyle w:val="Style23"/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footnoteReference w:id="2"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Целевой ориентир</w:t>
            </w:r>
            <w:r>
              <w:rPr>
                <w:rStyle w:val="Style23"/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footnoteReference w:id="3"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Ответственный исполнитель</w:t>
            </w:r>
          </w:p>
        </w:tc>
      </w:tr>
      <w:tr>
        <w:trPr>
          <w:tblHeader w:val="true"/>
        </w:trPr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15021" w:type="dxa"/>
            <w:gridSpan w:val="5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Муниципальная услуга в социальной сфере «Реализация дополнительных общеразвивающих программ»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значение:0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2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1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значение: 3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 2025-2027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4" w:name="_Hlk195520569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1470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1649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2023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</w:t>
            </w:r>
          </w:p>
        </w:tc>
        <w:tc>
          <w:tcPr>
            <w:tcW w:w="7826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98,5 %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6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98,5 %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объема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10,56%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11,81%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10,56%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11,81%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958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7826" w:type="dxa"/>
            <w:tcBorders/>
            <w:vAlign w:val="center"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Доля количества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муниципальных услуг в социальной сфере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2024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2025-2027</w:t>
            </w:r>
          </w:p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5" w:name="_Hlk195520569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  <w:bookmarkEnd w:id="45"/>
          </w:p>
        </w:tc>
      </w:tr>
    </w:tbl>
    <w:p>
      <w:pPr>
        <w:sectPr>
          <w:headerReference w:type="default" r:id="rId40"/>
          <w:footerReference w:type="default" r:id="rId41"/>
          <w:footerReference w:type="first" r:id="rId42"/>
          <w:footnotePr>
            <w:numFmt w:val="decimal"/>
          </w:footnotePr>
          <w:type w:val="nextPage"/>
          <w:pgSz w:orient="landscape" w:w="16838" w:h="11906"/>
          <w:pgMar w:left="851" w:right="851" w:gutter="0" w:header="708" w:top="1276" w:footer="708" w:bottom="85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10915" w:hanging="0"/>
        <w:jc w:val="center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ПРИЛОЖЕНИЕ № 5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________  № 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left="5670" w:hanging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  <w:bookmarkStart w:id="46" w:name="_Hlk195520698"/>
      <w:bookmarkStart w:id="47" w:name="_Hlk195520698"/>
      <w:bookmarkEnd w:id="47"/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cap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caps/>
          <w:sz w:val="28"/>
          <w:szCs w:val="28"/>
        </w:rPr>
        <w:t>ПЛАН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eastAsia="Calibri" w:cs="Times New Roman" w:ascii="Times New Roman" w:hAnsi="Times New Roman"/>
          <w:b/>
          <w:iCs/>
          <w:sz w:val="28"/>
          <w:szCs w:val="28"/>
        </w:rPr>
        <w:t>отбора исполнителей услуг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1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2"/>
        <w:gridCol w:w="3112"/>
        <w:gridCol w:w="5365"/>
        <w:gridCol w:w="2475"/>
        <w:gridCol w:w="3165"/>
      </w:tblGrid>
      <w:tr>
        <w:trPr>
          <w:tblHeader w:val="true"/>
        </w:trPr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ab/>
              <w:t>№ п/п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Мероприятие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Сроки реализации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Ответственный исполнитель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br w:type="textWrapping" w:clear="all"/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(в том числе обучение, налоговые льготы и т.п.), единиц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0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2026 – 0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2027 - 0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управление образования </w:t>
            </w:r>
          </w:p>
        </w:tc>
      </w:tr>
      <w:tr>
        <w:trPr>
          <w:trHeight w:val="581" w:hRule="atLeast"/>
        </w:trPr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0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Увеличение охвата услугами/доступа к услугам 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12,5%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2026 – 13,0%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2027 – 13,5%</w:t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vMerge w:val="restart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112" w:type="dxa"/>
            <w:vMerge w:val="restart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Повышение качества оказанных услуг 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vMerge w:val="continue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12" w:type="dxa"/>
            <w:vMerge w:val="continue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системы мониторинга и оценки</w:t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значение: 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год: 2025 – имеется</w:t>
            </w:r>
          </w:p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образования</w:t>
            </w:r>
          </w:p>
        </w:tc>
      </w:tr>
      <w:tr>
        <w:trPr/>
        <w:tc>
          <w:tcPr>
            <w:tcW w:w="119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12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3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65" w:type="dxa"/>
            <w:tcBorders/>
          </w:tcPr>
          <w:p>
            <w:pPr>
              <w:pStyle w:val="Normal"/>
              <w:widowControl/>
              <w:spacing w:lineRule="auto" w:line="254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ind w:right="-881" w:hanging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48" w:name="_Hlk195520698"/>
      <w:bookmarkStart w:id="49" w:name="_Hlk195520698"/>
      <w:bookmarkEnd w:id="49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bookmarkStart w:id="50" w:name="_Hlk190278234"/>
      <w:bookmarkStart w:id="51" w:name="_Hlk190278234"/>
      <w:bookmarkEnd w:id="51"/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sectPr>
      <w:headerReference w:type="default" r:id="rId43"/>
      <w:headerReference w:type="first" r:id="rId44"/>
      <w:footerReference w:type="default" r:id="rId45"/>
      <w:footerReference w:type="first" r:id="rId46"/>
      <w:footnotePr>
        <w:numFmt w:val="decimal"/>
      </w:footnotePr>
      <w:type w:val="nextPage"/>
      <w:pgSz w:orient="landscape" w:w="16838" w:h="11906"/>
      <w:pgMar w:left="851" w:right="851" w:gutter="0" w:header="708" w:top="1276" w:footer="708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tabs>
        <w:tab w:val="clear" w:pos="4677"/>
        <w:tab w:val="clear" w:pos="9355"/>
        <w:tab w:val="left" w:pos="6554" w:leader="none"/>
      </w:tabs>
      <w:rPr/>
    </w:pPr>
    <w:r>
      <w:rPr/>
      <w:tab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6"/>
        <w:widowControl w:val="false"/>
        <w:rPr/>
      </w:pPr>
      <w:r>
        <w:rPr>
          <w:rStyle w:val="Style22"/>
        </w:rPr>
        <w:footnoteRef/>
      </w:r>
      <w:r>
        <w:rPr/>
        <w:t>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3">
    <w:p>
      <w:pPr>
        <w:pStyle w:val="Style36"/>
        <w:widowControl w:val="false"/>
        <w:rPr/>
      </w:pPr>
      <w:r>
        <w:rPr>
          <w:rStyle w:val="Style22"/>
        </w:rPr>
        <w:footnoteRef/>
      </w:r>
      <w:r>
        <w:rPr/>
        <w:t xml:space="preserve"> </w:t>
      </w:r>
      <w:r>
        <w:rPr/>
        <w:t>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4221556"/>
    </w:sdtPr>
    <w:sdtContent>
      <w:p>
        <w:pPr>
          <w:pStyle w:val="Style34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Style34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6366083"/>
    </w:sdtPr>
    <w:sdtContent>
      <w:p>
        <w:pPr>
          <w:pStyle w:val="Style34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  <w:p>
        <w:pPr>
          <w:pStyle w:val="Style34"/>
          <w:rPr/>
        </w:pPr>
        <w:r>
          <w:rPr/>
        </w:r>
      </w:p>
    </w:sdtContent>
  </w:sdt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5815376"/>
    </w:sdtPr>
    <w:sdtContent>
      <w:p>
        <w:pPr>
          <w:pStyle w:val="Style34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  <w:p>
        <w:pPr>
          <w:pStyle w:val="Style34"/>
          <w:rPr/>
        </w:pPr>
        <w:r>
          <w:rPr/>
        </w:r>
      </w:p>
    </w:sdtContent>
  </w:sdt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24926337"/>
    </w:sdtPr>
    <w:sdtContent>
      <w:p>
        <w:pPr>
          <w:pStyle w:val="Style34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16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Style34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00707531"/>
    </w:sdtPr>
    <w:sdtContent>
      <w:p>
        <w:pPr>
          <w:pStyle w:val="Style34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Style34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4536273"/>
    </w:sdtPr>
    <w:sdtContent>
      <w:p>
        <w:pPr>
          <w:pStyle w:val="Style34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Style34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15745931"/>
    </w:sdtPr>
    <w:sdtContent>
      <w:p>
        <w:pPr>
          <w:pStyle w:val="Style34"/>
          <w:tabs>
            <w:tab w:val="clear" w:pos="4677"/>
            <w:tab w:val="right" w:pos="9355" w:leader="none"/>
          </w:tabs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Style34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c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184c0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184c0e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locked/>
    <w:rsid w:val="00184c0e"/>
    <w:rPr/>
  </w:style>
  <w:style w:type="character" w:styleId="Annotationreference">
    <w:name w:val="annotation reference"/>
    <w:basedOn w:val="DefaultParagraphFont"/>
    <w:uiPriority w:val="99"/>
    <w:unhideWhenUsed/>
    <w:qFormat/>
    <w:rsid w:val="00465725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qFormat/>
    <w:rsid w:val="00465725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65725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d07079"/>
    <w:rPr/>
  </w:style>
  <w:style w:type="character" w:styleId="Style18" w:customStyle="1">
    <w:name w:val="Нижний колонтитул Знак"/>
    <w:basedOn w:val="DefaultParagraphFont"/>
    <w:uiPriority w:val="99"/>
    <w:qFormat/>
    <w:rsid w:val="00d07079"/>
    <w:rPr/>
  </w:style>
  <w:style w:type="character" w:styleId="-">
    <w:name w:val="Hyperlink"/>
    <w:basedOn w:val="DefaultParagraphFont"/>
    <w:uiPriority w:val="99"/>
    <w:unhideWhenUsed/>
    <w:rsid w:val="00e46bbc"/>
    <w:rPr>
      <w:color w:val="0000FF"/>
      <w:u w:val="single"/>
    </w:rPr>
  </w:style>
  <w:style w:type="character" w:styleId="FontStyle14" w:customStyle="1">
    <w:name w:val="Font Style14"/>
    <w:basedOn w:val="DefaultParagraphFont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DefaultParagraphFont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styleId="Style19">
    <w:name w:val="FollowedHyperlink"/>
    <w:basedOn w:val="DefaultParagraphFont"/>
    <w:uiPriority w:val="99"/>
    <w:semiHidden/>
    <w:unhideWhenUsed/>
    <w:rsid w:val="00914936"/>
    <w:rPr>
      <w:color w:val="800080" w:themeColor="followedHyperlink"/>
      <w:u w:val="single"/>
    </w:rPr>
  </w:style>
  <w:style w:type="character" w:styleId="Style20" w:customStyle="1">
    <w:name w:val="Гипертекстовая ссылка"/>
    <w:basedOn w:val="DefaultParagraphFont"/>
    <w:uiPriority w:val="99"/>
    <w:qFormat/>
    <w:rsid w:val="00184c0e"/>
    <w:rPr>
      <w:rFonts w:cs="Times New Roman"/>
      <w:b w:val="false"/>
      <w:color w:val="106BBE"/>
    </w:rPr>
  </w:style>
  <w:style w:type="character" w:styleId="Style21" w:customStyle="1">
    <w:name w:val="Цветовое выделение"/>
    <w:uiPriority w:val="99"/>
    <w:qFormat/>
    <w:rsid w:val="00184c0e"/>
    <w:rPr>
      <w:b/>
      <w:color w:val="26282F"/>
    </w:rPr>
  </w:style>
  <w:style w:type="character" w:styleId="2" w:customStyle="1">
    <w:name w:val="Основной текст (2)"/>
    <w:basedOn w:val="DefaultParagraphFont"/>
    <w:qFormat/>
    <w:rsid w:val="00184c0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22">
    <w:name w:val="Символ сноски"/>
    <w:basedOn w:val="DefaultParagraphFont"/>
    <w:uiPriority w:val="99"/>
    <w:semiHidden/>
    <w:unhideWhenUsed/>
    <w:qFormat/>
    <w:rsid w:val="00fb7051"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Текст сноски Знак"/>
    <w:basedOn w:val="DefaultParagraphFont"/>
    <w:uiPriority w:val="99"/>
    <w:semiHidden/>
    <w:qFormat/>
    <w:rsid w:val="00fb7051"/>
    <w:rPr>
      <w:sz w:val="20"/>
      <w:szCs w:val="20"/>
    </w:rPr>
  </w:style>
  <w:style w:type="character" w:styleId="12" w:customStyle="1">
    <w:name w:val="Текст сноски Знак1"/>
    <w:basedOn w:val="DefaultParagraphFont"/>
    <w:uiPriority w:val="99"/>
    <w:semiHidden/>
    <w:qFormat/>
    <w:rsid w:val="00fb7051"/>
    <w:rPr>
      <w:rFonts w:ascii="Times New Roman" w:hAnsi="Times New Roman" w:eastAsia="" w:eastAsiaTheme="minorEastAsia"/>
      <w:sz w:val="20"/>
      <w:szCs w:val="20"/>
      <w:lang w:eastAsia="ru-RU"/>
    </w:rPr>
  </w:style>
  <w:style w:type="character" w:styleId="Style25" w:customStyle="1">
    <w:name w:val="Основной текст Знак"/>
    <w:basedOn w:val="DefaultParagraphFont"/>
    <w:qFormat/>
    <w:rsid w:val="00a37b0a"/>
    <w:rPr>
      <w:rFonts w:ascii="Times New Roman" w:hAnsi="Times New Roman" w:eastAsia="Microsoft Sans Serif" w:cs="Times New Roman"/>
      <w:b/>
      <w:bCs/>
      <w:color w:val="000000"/>
      <w:sz w:val="28"/>
      <w:szCs w:val="28"/>
      <w:shd w:fill="FFFFFF" w:val="clear"/>
      <w:lang w:eastAsia="zh-CN"/>
    </w:rPr>
  </w:style>
  <w:style w:type="character" w:styleId="Style26">
    <w:name w:val="Endnote Reference"/>
    <w:rPr>
      <w:vertAlign w:val="superscript"/>
    </w:rPr>
  </w:style>
  <w:style w:type="character" w:styleId="Style27">
    <w:name w:val="Символ концевой сноск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link w:val="Style25"/>
    <w:rsid w:val="00a37b0a"/>
    <w:pPr>
      <w:shd w:val="clear" w:color="auto" w:fill="FFFFFF"/>
      <w:spacing w:lineRule="exact" w:line="322" w:before="0" w:after="0"/>
      <w:jc w:val="center"/>
    </w:pPr>
    <w:rPr>
      <w:rFonts w:ascii="Times New Roman" w:hAnsi="Times New Roman" w:eastAsia="Microsoft Sans Serif" w:cs="Times New Roman"/>
      <w:b/>
      <w:bCs/>
      <w:color w:val="000000"/>
      <w:sz w:val="28"/>
      <w:szCs w:val="28"/>
      <w:lang w:eastAsia="zh-CN"/>
    </w:rPr>
  </w:style>
  <w:style w:type="paragraph" w:styleId="Style30">
    <w:name w:val="List"/>
    <w:basedOn w:val="Style29"/>
    <w:pPr/>
    <w:rPr>
      <w:rFonts w:cs="Ari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c2343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34a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4"/>
    <w:uiPriority w:val="34"/>
    <w:qFormat/>
    <w:rsid w:val="00bc083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5"/>
    <w:uiPriority w:val="99"/>
    <w:unhideWhenUsed/>
    <w:qFormat/>
    <w:rsid w:val="0046572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65725"/>
    <w:pPr/>
    <w:rPr>
      <w:b/>
      <w:bCs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7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5">
    <w:name w:val="Footer"/>
    <w:basedOn w:val="Normal"/>
    <w:link w:val="Style18"/>
    <w:uiPriority w:val="99"/>
    <w:unhideWhenUsed/>
    <w:rsid w:val="00d070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46b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a1146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6">
    <w:name w:val="Footnote Text"/>
    <w:basedOn w:val="Normal"/>
    <w:link w:val="12"/>
    <w:uiPriority w:val="99"/>
    <w:semiHidden/>
    <w:unhideWhenUsed/>
    <w:rsid w:val="00fb7051"/>
    <w:pPr>
      <w:spacing w:lineRule="auto" w:line="240" w:before="0" w:after="0"/>
      <w:jc w:val="both"/>
    </w:pPr>
    <w:rPr>
      <w:rFonts w:ascii="Times New Roman" w:hAnsi="Times New Roman" w:eastAsia="" w:eastAsiaTheme="minorEastAsia"/>
      <w:sz w:val="20"/>
      <w:szCs w:val="20"/>
      <w:lang w:eastAsia="ru-RU"/>
    </w:rPr>
  </w:style>
  <w:style w:type="paragraph" w:styleId="Style37" w:customStyle="1">
    <w:name w:val="Обычный (веб)"/>
    <w:basedOn w:val="Normal"/>
    <w:qFormat/>
    <w:rsid w:val="00a37b0a"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a37b0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7e699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fb70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consultantplus://offline/ref=B18B337B651275BD9B0A6CF19B08FCD45B696196914A229A8D20C2BBC9831C768D732460025AA6529FCED96A56A9n5L" TargetMode="External"/><Relationship Id="rId1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3" Type="http://schemas.openxmlformats.org/officeDocument/2006/relationships/hyperlink" Target="consultantplus://offline/ref=15F923F646D9C50678C5A8E82A6AE58715B39F5D3B5E7D28349995B0B63CE46B3BB372F77B218370D600CF1086kEhDN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15" Type="http://schemas.openxmlformats.org/officeDocument/2006/relationships/hyperlink" Target="consultantplus://offline/ref=15F923F646D9C50678C5A8E82A6AE58715B197503C5A7D28349995B0B63CE46B3BB372F77B218370D600CF1086kEhDN" TargetMode="Externa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hyperlink" Target="consultantplus://offline/ref=15F923F646D9C50678C5A8E82A6AE58715B197503C5A7D28349995B0B63CE46B3BB372F77B218370D600CF1086kEhDN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6.xml"/><Relationship Id="rId28" Type="http://schemas.openxmlformats.org/officeDocument/2006/relationships/footer" Target="footer7.xml"/><Relationship Id="rId2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1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2" Type="http://schemas.openxmlformats.org/officeDocument/2006/relationships/header" Target="header9.xml"/><Relationship Id="rId33" Type="http://schemas.openxmlformats.org/officeDocument/2006/relationships/header" Target="header10.xml"/><Relationship Id="rId34" Type="http://schemas.openxmlformats.org/officeDocument/2006/relationships/footer" Target="footer8.xml"/><Relationship Id="rId35" Type="http://schemas.openxmlformats.org/officeDocument/2006/relationships/footer" Target="footer9.xml"/><Relationship Id="rId36" Type="http://schemas.openxmlformats.org/officeDocument/2006/relationships/header" Target="header11.xml"/><Relationship Id="rId37" Type="http://schemas.openxmlformats.org/officeDocument/2006/relationships/header" Target="header12.xml"/><Relationship Id="rId38" Type="http://schemas.openxmlformats.org/officeDocument/2006/relationships/footer" Target="footer10.xml"/><Relationship Id="rId39" Type="http://schemas.openxmlformats.org/officeDocument/2006/relationships/footer" Target="footer11.xml"/><Relationship Id="rId40" Type="http://schemas.openxmlformats.org/officeDocument/2006/relationships/header" Target="header13.xml"/><Relationship Id="rId41" Type="http://schemas.openxmlformats.org/officeDocument/2006/relationships/footer" Target="footer12.xml"/><Relationship Id="rId42" Type="http://schemas.openxmlformats.org/officeDocument/2006/relationships/footer" Target="footer13.xml"/><Relationship Id="rId43" Type="http://schemas.openxmlformats.org/officeDocument/2006/relationships/header" Target="header14.xml"/><Relationship Id="rId44" Type="http://schemas.openxmlformats.org/officeDocument/2006/relationships/header" Target="header15.xml"/><Relationship Id="rId45" Type="http://schemas.openxmlformats.org/officeDocument/2006/relationships/footer" Target="footer14.xml"/><Relationship Id="rId46" Type="http://schemas.openxmlformats.org/officeDocument/2006/relationships/footer" Target="footer15.xml"/><Relationship Id="rId47" Type="http://schemas.openxmlformats.org/officeDocument/2006/relationships/footnotes" Target="footnotes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<Relationship Id="rId5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DE85-CB18-4435-B73C-EFDBE987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LibreOffice/7.5.4.2$Windows_X86_64 LibreOffice_project/36ccfdc35048b057fd9854c757a8b67ec53977b6</Application>
  <AppVersion>15.0000</AppVersion>
  <Pages>49</Pages>
  <Words>12900</Words>
  <Characters>73536</Characters>
  <CharactersWithSpaces>86264</CharactersWithSpaces>
  <Paragraphs>172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2025-08-20T09:02:00Z</dcterms:created>
  <dc:creator>Ильичева Софья Сергеевна</dc:creator>
  <dc:description/>
  <dc:language>ru-RU</dc:language>
  <cp:lastModifiedBy/>
  <cp:lastPrinted>2026-01-13T07:01:00Z</cp:lastPrinted>
  <dcterms:modified xsi:type="dcterms:W3CDTF">2026-01-13T12:40:48Z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