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BF2F6" w14:textId="362C37F1" w:rsidR="00BF5AE9" w:rsidRDefault="00BF5AE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noProof/>
          <w:sz w:val="26"/>
        </w:rPr>
        <w:drawing>
          <wp:anchor distT="0" distB="0" distL="114300" distR="114300" simplePos="0" relativeHeight="251658240" behindDoc="1" locked="0" layoutInCell="1" allowOverlap="1" wp14:anchorId="596AEDF8" wp14:editId="1DEE0BC5">
            <wp:simplePos x="0" y="0"/>
            <wp:positionH relativeFrom="column">
              <wp:posOffset>4209415</wp:posOffset>
            </wp:positionH>
            <wp:positionV relativeFrom="paragraph">
              <wp:posOffset>-306705</wp:posOffset>
            </wp:positionV>
            <wp:extent cx="1936115" cy="1089025"/>
            <wp:effectExtent l="0" t="0" r="0" b="0"/>
            <wp:wrapTight wrapText="bothSides">
              <wp:wrapPolygon edited="0">
                <wp:start x="13177" y="3023"/>
                <wp:lineTo x="4676" y="6801"/>
                <wp:lineTo x="2125" y="8313"/>
                <wp:lineTo x="2550" y="9824"/>
                <wp:lineTo x="1275" y="12847"/>
                <wp:lineTo x="1488" y="15492"/>
                <wp:lineTo x="18915" y="15492"/>
                <wp:lineTo x="20615" y="9824"/>
                <wp:lineTo x="21040" y="7179"/>
                <wp:lineTo x="19553" y="5668"/>
                <wp:lineTo x="14239" y="3023"/>
                <wp:lineTo x="13177" y="3023"/>
              </wp:wrapPolygon>
            </wp:wrapTight>
            <wp:docPr id="1693644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64400" name="Рисунок 1693644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A10F9" w14:textId="77777777" w:rsidR="00BF5AE9" w:rsidRDefault="00BF5AE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/>
          <w:b/>
          <w:sz w:val="26"/>
        </w:rPr>
      </w:pPr>
    </w:p>
    <w:p w14:paraId="27AD149F" w14:textId="77777777" w:rsidR="00BF5AE9" w:rsidRDefault="00BF5AE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/>
          <w:b/>
          <w:sz w:val="26"/>
        </w:rPr>
      </w:pPr>
    </w:p>
    <w:p w14:paraId="766C20B2" w14:textId="7DD9CD7C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ПОЛОЖЕНИЕ </w:t>
      </w:r>
    </w:p>
    <w:p w14:paraId="2D2F5470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об открытом конкурсе проектов </w:t>
      </w:r>
    </w:p>
    <w:p w14:paraId="0BC70543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 раскрытию и развитию потенциала детей на малых территориях «Среда возможностей» 2026 г.</w:t>
      </w:r>
    </w:p>
    <w:p w14:paraId="6D219422" w14:textId="77777777" w:rsidR="008243CA" w:rsidRDefault="008243CA">
      <w:pPr>
        <w:pStyle w:val="3"/>
        <w:spacing w:before="0" w:after="120" w:line="240" w:lineRule="auto"/>
        <w:rPr>
          <w:rFonts w:ascii="Times New Roman" w:hAnsi="Times New Roman"/>
          <w:sz w:val="26"/>
        </w:rPr>
      </w:pPr>
    </w:p>
    <w:p w14:paraId="3C3CD06B" w14:textId="77777777" w:rsidR="008243CA" w:rsidRDefault="00453F0C">
      <w:pPr>
        <w:pStyle w:val="3"/>
        <w:numPr>
          <w:ilvl w:val="0"/>
          <w:numId w:val="1"/>
        </w:numPr>
        <w:spacing w:before="0" w:after="120" w:line="240" w:lineRule="auto"/>
        <w:ind w:left="426" w:hanging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Формат Конкурса</w:t>
      </w:r>
      <w:bookmarkStart w:id="0" w:name="_GoBack"/>
      <w:bookmarkEnd w:id="0"/>
    </w:p>
    <w:p w14:paraId="04145A4A" w14:textId="77777777" w:rsidR="008243CA" w:rsidRDefault="00453F0C">
      <w:pPr>
        <w:pStyle w:val="af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Настоящее положение (далее – «Положение») об открытом конкурсе «Среда возможностей» 2026 г. (далее – «Конкурс») регламентирует порядок и сроки проведения Конкурса проектов по раскрытию и развитию потенциала детей на малых территориях, определяет цели и задачи конкурса, требования к конкурсным материалам, приоритетные направления и условия участия в конкурсе, критерии оценки заявок, порядок отбора и финансирования победителей.</w:t>
      </w:r>
    </w:p>
    <w:p w14:paraId="1BD86BF4" w14:textId="77777777" w:rsidR="008243CA" w:rsidRDefault="00453F0C">
      <w:pPr>
        <w:pStyle w:val="af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Конкурс проводится в рамках стратегического направления «Развитие детей и подростков» (далее – «Развитие») Фонда Тимченко (далее – «Фонд»).</w:t>
      </w:r>
    </w:p>
    <w:p w14:paraId="58B2236A" w14:textId="77777777" w:rsidR="008243CA" w:rsidRPr="00C615A8" w:rsidRDefault="00453F0C">
      <w:pPr>
        <w:pStyle w:val="af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15A8">
        <w:rPr>
          <w:rFonts w:ascii="Times New Roman" w:hAnsi="Times New Roman"/>
          <w:sz w:val="28"/>
          <w:szCs w:val="28"/>
        </w:rPr>
        <w:t xml:space="preserve">Вся информация по Конкурсу размещается на официальном сайте Фонда </w:t>
      </w:r>
      <w:hyperlink r:id="rId9" w:history="1">
        <w:r w:rsidR="00C615A8" w:rsidRPr="00C615A8">
          <w:rPr>
            <w:rStyle w:val="afc"/>
            <w:rFonts w:ascii="Times New Roman" w:hAnsi="Times New Roman"/>
            <w:sz w:val="28"/>
            <w:szCs w:val="28"/>
          </w:rPr>
          <w:t>«Среда возможностей»</w:t>
        </w:r>
      </w:hyperlink>
      <w:r w:rsidR="00C615A8" w:rsidRPr="00C615A8">
        <w:rPr>
          <w:rStyle w:val="afc"/>
          <w:rFonts w:ascii="Times New Roman" w:hAnsi="Times New Roman"/>
          <w:sz w:val="28"/>
          <w:szCs w:val="28"/>
        </w:rPr>
        <w:t>.</w:t>
      </w:r>
    </w:p>
    <w:p w14:paraId="4505870E" w14:textId="77777777" w:rsidR="008243CA" w:rsidRDefault="00453F0C">
      <w:pPr>
        <w:pStyle w:val="af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Организатором Конкурса является Фонд Тимченко. </w:t>
      </w:r>
    </w:p>
    <w:p w14:paraId="001AECFF" w14:textId="77777777" w:rsidR="008243CA" w:rsidRDefault="00453F0C">
      <w:pPr>
        <w:pStyle w:val="af4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Конкурса определяет стратегию, общий объем финансирования, осуществляет информационную поддержку, организует и координирует проведение Конкурса.</w:t>
      </w:r>
    </w:p>
    <w:p w14:paraId="24029C00" w14:textId="77777777" w:rsidR="008243CA" w:rsidRDefault="00453F0C">
      <w:pPr>
        <w:pStyle w:val="af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Операторами Конкурса являются:</w:t>
      </w:r>
    </w:p>
    <w:p w14:paraId="132769AC" w14:textId="77777777" w:rsidR="008243CA" w:rsidRDefault="00453F0C">
      <w:pPr>
        <w:pStyle w:val="af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Автономная некоммерческая организация дополнительного профессионального образования и консалтинга «Развитие» (АНО «Развитие»).</w:t>
      </w:r>
    </w:p>
    <w:p w14:paraId="6A0D99CA" w14:textId="77777777" w:rsidR="008243CA" w:rsidRDefault="00453F0C">
      <w:pPr>
        <w:pStyle w:val="af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Автономная некоммерческая организация центр поддержки инициатив «Сфера возможностей».</w:t>
      </w:r>
    </w:p>
    <w:p w14:paraId="26D1BDF7" w14:textId="77777777" w:rsidR="008243CA" w:rsidRDefault="00453F0C">
      <w:pPr>
        <w:pStyle w:val="af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АНО «Центр проектного консультирования и разработки социально ориентированных программ «Команда-ПРОФИ».</w:t>
      </w:r>
    </w:p>
    <w:p w14:paraId="57716F91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50CE0313" w14:textId="5C982C4A" w:rsidR="008243CA" w:rsidRPr="00BF5AE9" w:rsidRDefault="00453F0C" w:rsidP="00BF5AE9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Глоссарий</w:t>
      </w:r>
    </w:p>
    <w:p w14:paraId="0A58BE35" w14:textId="77777777" w:rsidR="008243CA" w:rsidRDefault="00453F0C">
      <w:pPr>
        <w:pStyle w:val="af4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данного Конкурса понятия, термины и сокращения используются в следующих значениях:</w:t>
      </w:r>
    </w:p>
    <w:p w14:paraId="0985A39D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Голос ребенка</w:t>
      </w:r>
      <w:r>
        <w:rPr>
          <w:rFonts w:ascii="Times New Roman" w:hAnsi="Times New Roman"/>
          <w:sz w:val="26"/>
        </w:rPr>
        <w:t xml:space="preserve"> – возможность получения детьми опыта влияния на происходящее, принятия важных для себя и других решений, опыта предложения идей и оценок, безопасного обсуждения возникающих противоречий, опыта ответственности и соучастия. </w:t>
      </w:r>
    </w:p>
    <w:p w14:paraId="66E285E4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«Голос ребенка» может быть включен в проект: </w:t>
      </w:r>
    </w:p>
    <w:p w14:paraId="1B375D16" w14:textId="77777777" w:rsidR="008243CA" w:rsidRDefault="00453F0C">
      <w:pPr>
        <w:pStyle w:val="af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через изучение детских потребностей и интересов;</w:t>
      </w:r>
    </w:p>
    <w:p w14:paraId="35FAE5FE" w14:textId="77777777" w:rsidR="008243CA" w:rsidRDefault="00453F0C">
      <w:pPr>
        <w:pStyle w:val="af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через вовлечение детей в планирование и проектирование;</w:t>
      </w:r>
    </w:p>
    <w:p w14:paraId="7556024F" w14:textId="77777777" w:rsidR="008243CA" w:rsidRDefault="00453F0C">
      <w:pPr>
        <w:pStyle w:val="af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через способы сбора и учета обратной связи, мнений и предложений детей.</w:t>
      </w:r>
    </w:p>
    <w:p w14:paraId="7FA38403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lastRenderedPageBreak/>
        <w:t>Дети, находящиеся в трудной жизненной ситуации (далее - ТЖС)</w:t>
      </w:r>
      <w:r>
        <w:rPr>
          <w:rFonts w:ascii="Times New Roman" w:hAnsi="Times New Roman"/>
          <w:sz w:val="26"/>
        </w:rPr>
        <w:t xml:space="preserve"> – дети, жизнедеятельность которых объективно нарушена в результате сложившихся трудных обстоятельств, которые дети не могут преодолеть самостоятельно или с помощью семьи.</w:t>
      </w:r>
    </w:p>
    <w:p w14:paraId="3F0C55E9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Дети с ограниченными возможностями здоровья (далее – ОВЗ)</w:t>
      </w:r>
      <w:r>
        <w:rPr>
          <w:rFonts w:ascii="Times New Roman" w:hAnsi="Times New Roman"/>
          <w:sz w:val="26"/>
        </w:rPr>
        <w:t xml:space="preserve"> – это дети-инвалиды, либо другие дети,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воспитания.</w:t>
      </w:r>
    </w:p>
    <w:p w14:paraId="574897FF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Малая территория</w:t>
      </w:r>
      <w:r>
        <w:rPr>
          <w:rFonts w:ascii="Times New Roman" w:hAnsi="Times New Roman"/>
          <w:sz w:val="26"/>
        </w:rPr>
        <w:t xml:space="preserve"> - населенный пункт, в котором проживают менее 70 000 человек. К малым территориям не могут быть отнесены районы или муниципальные образования с населением менее 70 000 человек, но являющиеся частью крупной городской агломерации (районом или муниципалитетом крупного города).</w:t>
      </w:r>
    </w:p>
    <w:p w14:paraId="16FBEF00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Местное сообщество</w:t>
      </w:r>
      <w:r>
        <w:rPr>
          <w:rFonts w:ascii="Times New Roman" w:hAnsi="Times New Roman"/>
          <w:sz w:val="26"/>
        </w:rPr>
        <w:t xml:space="preserve"> – сообщество, которое объединяет людей, проживающих в одном населённом пункте. Это необязательно соседское сообщество (см. термин «Соседское сообщество»). Например, городское местное сообщество может состоять из жителей разных районов, которые не являются соседями по дому или даже микрорайону.</w:t>
      </w:r>
    </w:p>
    <w:p w14:paraId="5A0C92EA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Оператор конкурса</w:t>
      </w:r>
      <w:r>
        <w:rPr>
          <w:rFonts w:ascii="Times New Roman" w:hAnsi="Times New Roman"/>
          <w:sz w:val="26"/>
        </w:rPr>
        <w:t xml:space="preserve"> - партнер Фонда, привлекаемый для организационно-технического, информационного, аналитического сопровождения Конкурса. </w:t>
      </w:r>
    </w:p>
    <w:p w14:paraId="2F6CF287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Поддерживающая и развивающая среда </w:t>
      </w:r>
      <w:r>
        <w:rPr>
          <w:rFonts w:ascii="Times New Roman" w:hAnsi="Times New Roman"/>
          <w:sz w:val="26"/>
        </w:rPr>
        <w:t xml:space="preserve">– это среда, созданная для детей с активным вовлечением местного сообщества, важной частью которой является развитие детской субъектности и учета мнения детей («голос ребенка»). </w:t>
      </w:r>
    </w:p>
    <w:p w14:paraId="01A0DE84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Среда помогает специалисту организовать «со-деятельный» процесс в комфортных и безопасных условиях (пространствах), мотивируя и поощряя стремление детей к развитию, самореализации и включению в общественно-значимую активность.</w:t>
      </w:r>
    </w:p>
    <w:p w14:paraId="13852DA5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Проект</w:t>
      </w:r>
      <w:r>
        <w:rPr>
          <w:rFonts w:ascii="Times New Roman" w:hAnsi="Times New Roman"/>
          <w:sz w:val="26"/>
        </w:rPr>
        <w:t xml:space="preserve"> – это последовательность взаимосвязанных событий, которые происходят в течение установленного ограниченного периода времени и направлены на достижение определенного результата, имеют перспективу долгосрочного развития (не менее трех лет) и предполагают возможность расширения видов и форм деятельности для реализации способностей детей и их проактивное участие в жизни местных сообществ.</w:t>
      </w:r>
    </w:p>
    <w:p w14:paraId="7734D58D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Ресурсы местного сообщества</w:t>
      </w:r>
      <w:r>
        <w:rPr>
          <w:rFonts w:ascii="Times New Roman" w:hAnsi="Times New Roman"/>
          <w:sz w:val="26"/>
        </w:rPr>
        <w:t xml:space="preserve"> - все материальные и нематериальные активы, которыми располагают люди и организации на данной территории. Примеры материальных ресурсов: здания (школа, библиотека, дом культуры, музей), природные достопримечательности (лес, река, пляж), техника (трактор, лодки). Примеры нематериальных ресурсов: сложившиеся на территории традиции, промыслы, рецепты; активность, жизненный опыт, навыки и таланты местных жителей. Часто подобные активы не рассматриваются членами сообщества как ресурсы. Поэтому важным этапом развития сообщества является подробный анализ возможностей территории и её жителей.</w:t>
      </w:r>
    </w:p>
    <w:p w14:paraId="40F179EC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Специалист/наставник</w:t>
      </w:r>
      <w:r>
        <w:rPr>
          <w:rFonts w:ascii="Times New Roman" w:hAnsi="Times New Roman"/>
          <w:sz w:val="26"/>
        </w:rPr>
        <w:t xml:space="preserve"> – специалист, применяющий в рамках работы с детьми по проекту практики, ориентированные на детское развитие и «голос ребенка», создающие условия для инициативы и соучастия детей в проектах, для передачи знаний, личного опыта, оказания необходимой поддержки, направленной на образование, развитие личности, социализацию, социальную адаптацию от </w:t>
      </w:r>
      <w:r>
        <w:rPr>
          <w:rFonts w:ascii="Times New Roman" w:hAnsi="Times New Roman"/>
          <w:sz w:val="26"/>
        </w:rPr>
        <w:lastRenderedPageBreak/>
        <w:t>наставника к ребенку и через объединение усилий специалистов и разных общественных институтов.</w:t>
      </w:r>
    </w:p>
    <w:p w14:paraId="0ADF1FFD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Соседское сообщество</w:t>
      </w:r>
      <w:r>
        <w:rPr>
          <w:rFonts w:ascii="Times New Roman" w:hAnsi="Times New Roman"/>
          <w:sz w:val="26"/>
        </w:rPr>
        <w:t xml:space="preserve"> - сообщество, которое объединяет людей, проживающих по соседству друг с другом (дом, квартал, соседние улицы или, реже, микрорайоны). В небольших населенных пунктах (например, в селах) соседское сообщество – это обычно и есть местное сообщество.</w:t>
      </w:r>
    </w:p>
    <w:p w14:paraId="2CDAEACD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656E95A9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Цель Конкурса</w:t>
      </w:r>
    </w:p>
    <w:p w14:paraId="5E705068" w14:textId="77777777" w:rsidR="008243CA" w:rsidRDefault="00453F0C">
      <w:pPr>
        <w:pStyle w:val="af4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Раскрытие и развитие потенциала детей, живущих на малых территориях, для их успешной жизненной самореализации и благополучия путем создания для них поддерживающей и развивающей среды.</w:t>
      </w:r>
    </w:p>
    <w:p w14:paraId="15C981B9" w14:textId="77777777" w:rsidR="008243CA" w:rsidRDefault="008243CA">
      <w:pPr>
        <w:rPr>
          <w:rFonts w:ascii="Times New Roman" w:hAnsi="Times New Roman"/>
          <w:sz w:val="26"/>
        </w:rPr>
      </w:pPr>
    </w:p>
    <w:p w14:paraId="6E8244CF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Задачи и ключевые ожидаемые результаты Конкурса</w:t>
      </w:r>
    </w:p>
    <w:p w14:paraId="1696B8A8" w14:textId="77777777" w:rsidR="008243CA" w:rsidRDefault="00453F0C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Конкурс направлен на поддержку и развитие долгосрочных проектов. Проектам, подаваемым на Конкурс, важно предусмотреть возможность расширения видов и форм деятельности для развития детей, их проактивное участие в проекте, а также перспективу и возможность развития деятельности в последующие годы (не менее трех лет).</w:t>
      </w:r>
    </w:p>
    <w:p w14:paraId="2F36B776" w14:textId="77777777" w:rsidR="008243CA" w:rsidRDefault="00453F0C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конкурса запланировано 3 цикла реализации поддержанных Фондом проектов. Победители Конкурса получат возможность участия в двух закрытых конкурсах Фонда после успешной реализации проектов в первом цикле - открытом Конкурсе. Каждый цикл решает специфические проблемы, двигаясь от базовых форм взаимодействия с детьми к созданию устойчивой развивающей и поддерживающей среды, способной функционировать автономно и тиражироваться на другие территории.</w:t>
      </w:r>
    </w:p>
    <w:p w14:paraId="6128E6B5" w14:textId="77777777" w:rsidR="008243CA" w:rsidRDefault="00453F0C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4.1 Задачи 1 цикла Конкурса: </w:t>
      </w:r>
    </w:p>
    <w:p w14:paraId="79279A79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Выявление и поддержка проектов, улучшающих существующие и создающих новые возможности для развития детей в общественной, образовательной, культурной и других сферах.</w:t>
      </w:r>
    </w:p>
    <w:p w14:paraId="7F5E034C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Вовлечение детей в активную совместную деятельность на малых территориях с учетом их потребностей и интересов.</w:t>
      </w:r>
    </w:p>
    <w:p w14:paraId="54B177D0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Обучение специалистов/наставников эффективным методикам, а также недостающим навыкам по работе с детьми.</w:t>
      </w:r>
    </w:p>
    <w:p w14:paraId="374E547C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Вовлечение родителей и местных сообществ в работу с детьми для их развития и самореализации.</w:t>
      </w:r>
    </w:p>
    <w:p w14:paraId="530BDE6E" w14:textId="77777777" w:rsidR="008243CA" w:rsidRDefault="00453F0C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4.2 Результаты 1 цикла Конкурса: </w:t>
      </w:r>
    </w:p>
    <w:p w14:paraId="09610372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Проект объединил вокруг себя детей (в том числе «новых» - кого не было до начала проекта), есть основная группа детей (кто вовлечены на постоянной основе в реализацию проекта) и тех, кто приходит на отдельные мероприятия.</w:t>
      </w:r>
    </w:p>
    <w:p w14:paraId="69CDEBF3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Специалисты используют инструменты и технологии работы с учетом «голоса ребенка», выступают в роли наставника, есть понимание «своих» детей: возрастные категории, потребности, особенности.</w:t>
      </w:r>
    </w:p>
    <w:p w14:paraId="1BE1CAAE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Созданы новые возможности для развития детей: появилось место, где дети имеют возможность не только заниматься интересным делом, но и возможность проводить свободное время; реализуются новые активности/услуги, выросшие из их интересов и запросов.</w:t>
      </w:r>
    </w:p>
    <w:p w14:paraId="40294349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Дети освоили конкретные навыки (деятельностные и социальные - расширили социальные связи со сверстниками и взрослыми).</w:t>
      </w:r>
    </w:p>
    <w:p w14:paraId="0A072BB4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работу с детьми вовлечены родители, местные жители и партнеры из местного сообщества.</w:t>
      </w:r>
    </w:p>
    <w:p w14:paraId="5024463F" w14:textId="77777777" w:rsidR="008243CA" w:rsidRDefault="008243CA">
      <w:pPr>
        <w:jc w:val="both"/>
        <w:rPr>
          <w:rFonts w:ascii="Times New Roman" w:hAnsi="Times New Roman"/>
          <w:sz w:val="26"/>
        </w:rPr>
      </w:pPr>
    </w:p>
    <w:p w14:paraId="1AA7BF06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Целевая группа Конкурса</w:t>
      </w:r>
    </w:p>
    <w:p w14:paraId="3057FE61" w14:textId="77777777" w:rsidR="008243CA" w:rsidRDefault="00453F0C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Конкурса поддерживаются проекты для следующей приоритетной целевой группы: дети подросткового и юношеского возраста от 10 до 17 лет включительно, в том числе в ТЖС, с ОВЗ.</w:t>
      </w:r>
    </w:p>
    <w:p w14:paraId="3AC6A7BB" w14:textId="77777777" w:rsidR="008243CA" w:rsidRDefault="00453F0C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Проекты, подаваемые на конкурс, должны обязательно включать прямую работу с приоритетной целевой группой.</w:t>
      </w:r>
    </w:p>
    <w:p w14:paraId="721D7843" w14:textId="77777777" w:rsidR="008243CA" w:rsidRDefault="00453F0C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Дополнительно </w:t>
      </w:r>
      <w:r>
        <w:rPr>
          <w:rFonts w:ascii="Times New Roman" w:hAnsi="Times New Roman"/>
          <w:sz w:val="26"/>
        </w:rPr>
        <w:t>к осуществлению непосредственной деятельности с приоритетной целевой группой допускается включение в проект мероприятий с вовлечением детей до 10 лет, направленных на достижение цели Конкурса.</w:t>
      </w:r>
    </w:p>
    <w:p w14:paraId="6F9B9F8B" w14:textId="77777777" w:rsidR="008243CA" w:rsidRDefault="008243CA">
      <w:pPr>
        <w:jc w:val="both"/>
        <w:rPr>
          <w:rFonts w:ascii="Times New Roman" w:hAnsi="Times New Roman"/>
          <w:sz w:val="26"/>
        </w:rPr>
      </w:pPr>
    </w:p>
    <w:p w14:paraId="4044856B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География конкурса</w:t>
      </w:r>
    </w:p>
    <w:p w14:paraId="1FBF1F55" w14:textId="77777777" w:rsidR="008243CA" w:rsidRDefault="00453F0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Конкурс проводится на территории Российской Федерации.</w:t>
      </w:r>
    </w:p>
    <w:p w14:paraId="0221C1F8" w14:textId="77777777" w:rsidR="008243CA" w:rsidRDefault="00453F0C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Реализация проекта может быть осуществлена на территории населенного пункта с численностью жителей до 70 000 человек.</w:t>
      </w:r>
    </w:p>
    <w:p w14:paraId="641B0283" w14:textId="77777777" w:rsidR="008243CA" w:rsidRDefault="008243CA">
      <w:pPr>
        <w:jc w:val="both"/>
        <w:rPr>
          <w:rFonts w:ascii="Times New Roman" w:hAnsi="Times New Roman"/>
          <w:sz w:val="26"/>
        </w:rPr>
      </w:pPr>
    </w:p>
    <w:p w14:paraId="7B3C3700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Участники конкурса</w:t>
      </w:r>
    </w:p>
    <w:p w14:paraId="501702EB" w14:textId="77777777" w:rsidR="008243CA" w:rsidRDefault="00453F0C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7.1 Участниками Конкурса могут быть некоммерческие организации, зарегистрированные на территории Российской Федерации, в том числе:</w:t>
      </w:r>
    </w:p>
    <w:p w14:paraId="1DD7DE65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государственные (муниципальные) бюджетные и казенные учреждения, включая организации социального обслуживания семей и детей, образовательные организации, учреждения культуры, спорта и молодежи;</w:t>
      </w:r>
    </w:p>
    <w:p w14:paraId="7D7B872E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некоммерческие общественные организации, благотворительные фонды, автономные некоммерческие организации;</w:t>
      </w:r>
    </w:p>
    <w:p w14:paraId="06FDDC49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территориальные общественные самоуправления (далее - ТОС), с образованием юридического лица,</w:t>
      </w:r>
    </w:p>
    <w:p w14:paraId="53F897A3" w14:textId="77777777" w:rsidR="008243CA" w:rsidRDefault="00453F0C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уставные цели и виды деятельности которых соответствуют целям и задачам Конкурса и отвечают условиям Конкурса.</w:t>
      </w:r>
    </w:p>
    <w:p w14:paraId="02DE2E1F" w14:textId="77777777" w:rsidR="008243CA" w:rsidRDefault="00453F0C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Реализация проекта должна осуществляться непосредственно на малой территории, при этом </w:t>
      </w:r>
      <w:bookmarkStart w:id="1" w:name="_Hlk176732201"/>
      <w:r>
        <w:rPr>
          <w:rFonts w:ascii="Times New Roman" w:hAnsi="Times New Roman"/>
          <w:sz w:val="26"/>
        </w:rPr>
        <w:t>принять участие в Конкурсе могут организации, как зарегистрированные в данном населенном пункте, так и в любом другом населенном пункте региона, но реализующие свой проект на малой территории, соответствующей условиям Положения</w:t>
      </w:r>
      <w:bookmarkEnd w:id="1"/>
      <w:r>
        <w:rPr>
          <w:rFonts w:ascii="Times New Roman" w:hAnsi="Times New Roman"/>
          <w:sz w:val="26"/>
        </w:rPr>
        <w:t>.</w:t>
      </w:r>
    </w:p>
    <w:p w14:paraId="209C0FF0" w14:textId="77777777" w:rsidR="008243CA" w:rsidRDefault="00453F0C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случае, если организация в рамках проекта осуществляет лицензируемую деятельность – наличие соответствующей лицензии обязательно.</w:t>
      </w:r>
    </w:p>
    <w:p w14:paraId="1E1C3844" w14:textId="77777777" w:rsidR="008243CA" w:rsidRDefault="00453F0C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7.2</w:t>
      </w:r>
      <w:r>
        <w:rPr>
          <w:rFonts w:ascii="Times New Roman" w:hAnsi="Times New Roman"/>
          <w:b/>
          <w:sz w:val="26"/>
        </w:rPr>
        <w:t xml:space="preserve"> К участию в Конкурсе не допускаются: </w:t>
      </w:r>
    </w:p>
    <w:p w14:paraId="3BA75D86" w14:textId="77777777" w:rsidR="008243CA" w:rsidRDefault="00453F0C">
      <w:pPr>
        <w:pStyle w:val="af4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sz w:val="26"/>
        </w:rPr>
      </w:pPr>
      <w:bookmarkStart w:id="2" w:name="_Hlk205904447"/>
      <w:r>
        <w:rPr>
          <w:rFonts w:ascii="Times New Roman" w:hAnsi="Times New Roman"/>
          <w:sz w:val="26"/>
        </w:rPr>
        <w:t>политические партии и иные организации, участвующие в политической деятельности, осуществляемой на территории России;</w:t>
      </w:r>
    </w:p>
    <w:p w14:paraId="1EBBA8D6" w14:textId="77777777" w:rsidR="008243CA" w:rsidRDefault="00453F0C">
      <w:pPr>
        <w:pStyle w:val="af4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органы местного самоуправления;</w:t>
      </w:r>
    </w:p>
    <w:p w14:paraId="2048D457" w14:textId="77777777" w:rsidR="008243CA" w:rsidRDefault="00453F0C">
      <w:pPr>
        <w:pStyle w:val="af4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органы государственной власти;</w:t>
      </w:r>
    </w:p>
    <w:p w14:paraId="2506C2BB" w14:textId="77777777" w:rsidR="008243CA" w:rsidRDefault="00453F0C">
      <w:pPr>
        <w:pStyle w:val="af4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государственные корпорации;</w:t>
      </w:r>
    </w:p>
    <w:p w14:paraId="0F695175" w14:textId="77777777" w:rsidR="008243CA" w:rsidRDefault="00453F0C">
      <w:pPr>
        <w:pStyle w:val="af4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профсоюзы;</w:t>
      </w:r>
    </w:p>
    <w:p w14:paraId="5666C0F5" w14:textId="77777777" w:rsidR="008243CA" w:rsidRDefault="00453F0C">
      <w:pPr>
        <w:pStyle w:val="af4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религиозные организации и организации, занимающиеся религиозной деятельностью;</w:t>
      </w:r>
    </w:p>
    <w:p w14:paraId="3F054D79" w14:textId="77777777" w:rsidR="008243CA" w:rsidRDefault="00453F0C">
      <w:pPr>
        <w:pStyle w:val="af4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коммерческие организации;</w:t>
      </w:r>
    </w:p>
    <w:p w14:paraId="4979E5F6" w14:textId="77777777" w:rsidR="008243CA" w:rsidRDefault="00453F0C">
      <w:pPr>
        <w:pStyle w:val="af4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организации, не зарегистрированные в качестве юридического лица;</w:t>
      </w:r>
    </w:p>
    <w:p w14:paraId="6477E163" w14:textId="77777777" w:rsidR="008243CA" w:rsidRDefault="00453F0C">
      <w:pPr>
        <w:pStyle w:val="af4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организации, выполняющие функции иностранного агента;</w:t>
      </w:r>
    </w:p>
    <w:p w14:paraId="660E76B1" w14:textId="77777777" w:rsidR="008243CA" w:rsidRDefault="00453F0C">
      <w:pPr>
        <w:pStyle w:val="af4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иностранные организации и их представительства; </w:t>
      </w:r>
    </w:p>
    <w:p w14:paraId="53EC5B70" w14:textId="77777777" w:rsidR="008243CA" w:rsidRDefault="00453F0C">
      <w:pPr>
        <w:pStyle w:val="af4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организации, находящиеся в процессе реорганизации или ликвидации;</w:t>
      </w:r>
      <w:bookmarkEnd w:id="2"/>
    </w:p>
    <w:p w14:paraId="2D7CAA2F" w14:textId="77777777" w:rsidR="008243CA" w:rsidRDefault="00453F0C">
      <w:pPr>
        <w:pStyle w:val="af4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организации, в отношении которых возбуждено производство по делу о несостоятельности (банкротстве), либо деятельность организации приостановлена в порядке, предусмотренном законодательством;</w:t>
      </w:r>
    </w:p>
    <w:p w14:paraId="2299A664" w14:textId="77777777" w:rsidR="008243CA" w:rsidRDefault="00453F0C">
      <w:pPr>
        <w:pStyle w:val="af4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организации, у которых есть просроченная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14:paraId="7B911195" w14:textId="77777777" w:rsidR="008243CA" w:rsidRDefault="00453F0C">
      <w:pPr>
        <w:pStyle w:val="af4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организации, чьи заявки когда-либо были не допущены к участию в конкурсах Фонда из-за нарушений в виде: предоставления заведомо ложной, недостоверной, фальсифицированной информации в заявках и/или в </w:t>
      </w:r>
      <w:r>
        <w:rPr>
          <w:rFonts w:ascii="Times New Roman" w:hAnsi="Times New Roman"/>
          <w:sz w:val="26"/>
        </w:rPr>
        <w:lastRenderedPageBreak/>
        <w:t>сопроводительных документах к ним; нецелевого использования средств ранее полученных пожертвований;</w:t>
      </w:r>
    </w:p>
    <w:p w14:paraId="075C775F" w14:textId="77777777" w:rsidR="008243CA" w:rsidRDefault="00453F0C">
      <w:pPr>
        <w:pStyle w:val="af4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организации – победители конкурса «Среда возможностей» 1.2 (2023)», «Среда возможностей» 2.1 (2024)» и «Среда возможностей» 3.1 (2025)».</w:t>
      </w:r>
    </w:p>
    <w:p w14:paraId="015C1CE8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Условия участия в конкурсе</w:t>
      </w:r>
    </w:p>
    <w:p w14:paraId="45CD95E5" w14:textId="77777777" w:rsidR="008243CA" w:rsidRDefault="00453F0C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Максимальный размер запрашиваемого финансирования проекта – не более 1 000 000 рублей. </w:t>
      </w:r>
    </w:p>
    <w:p w14:paraId="7AFC5312" w14:textId="77777777" w:rsidR="008243CA" w:rsidRDefault="00453F0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Общие требования: </w:t>
      </w:r>
    </w:p>
    <w:p w14:paraId="3D0BDFE3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проект основан на понимании потребностей и желании детей, ресурсов территории, создается при активном вовлечении детей; </w:t>
      </w:r>
    </w:p>
    <w:p w14:paraId="0B98D52B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заявке приложены результаты обсуждений, опросов, анкетирования детей, из которых видно, как учитывается мнение детей при планировании и реализации проекта;</w:t>
      </w:r>
    </w:p>
    <w:p w14:paraId="013693F6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проект направлен на работу с детьми подросткового и юношеского возраста от 10 до 17 лет включительно;</w:t>
      </w:r>
    </w:p>
    <w:p w14:paraId="25D706D5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проект направлен на улучшение существующих или создание новых возможностей для раскрытия и развития потенциала детей;</w:t>
      </w:r>
    </w:p>
    <w:p w14:paraId="452DD147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проект предусматривает механизмы для приобретения детьми конкретных знаний и умений, развития деятельностных навыков, расширения социальных связей, развития личностных качеств, самостоятельности и инициативности; </w:t>
      </w:r>
    </w:p>
    <w:p w14:paraId="09C2631B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проект соответствует принципам открытости для новых детей и предполагает расширение их охвата;</w:t>
      </w:r>
    </w:p>
    <w:p w14:paraId="0160B790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проект реализовывается на малой территории;</w:t>
      </w:r>
    </w:p>
    <w:p w14:paraId="766EBDFD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деятельность проекта включает вовлечение ресурсов местного сообщества и активное участие местного сообщества.</w:t>
      </w:r>
    </w:p>
    <w:p w14:paraId="117B9956" w14:textId="77777777" w:rsidR="008243CA" w:rsidRDefault="008243CA">
      <w:pPr>
        <w:jc w:val="both"/>
        <w:rPr>
          <w:rFonts w:ascii="Times New Roman" w:hAnsi="Times New Roman"/>
          <w:sz w:val="26"/>
        </w:rPr>
      </w:pPr>
    </w:p>
    <w:p w14:paraId="4DB63203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Конкурса не поддерживаются проекты, направленные на:</w:t>
      </w:r>
    </w:p>
    <w:p w14:paraId="61A978A7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исключительно улучшение материально-технической базы заявителя или партнеров;</w:t>
      </w:r>
    </w:p>
    <w:p w14:paraId="3D867729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осуществление текущей деятельности организации без демонстрации изменений в видах и формах деятельности, нацеленных на развитие детей в проекте;</w:t>
      </w:r>
    </w:p>
    <w:p w14:paraId="6A962739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организацию только досуговых мероприятий (экскурсии, праздники и прочее) без прямой постоянной работы с детьми;</w:t>
      </w:r>
    </w:p>
    <w:p w14:paraId="1D6BB2EA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проведение образовательных или информационных мероприятий со специалистами без прямой постоянной работы с детьми.</w:t>
      </w:r>
    </w:p>
    <w:p w14:paraId="47BB827D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  <w:highlight w:val="white"/>
        </w:rPr>
      </w:pPr>
    </w:p>
    <w:p w14:paraId="7F89DA2F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  <w:highlight w:val="white"/>
        </w:rPr>
      </w:pPr>
    </w:p>
    <w:p w14:paraId="6684490A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Сроки реализации проектов</w:t>
      </w:r>
    </w:p>
    <w:p w14:paraId="7BF2EA28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начало – не ранее 01 сентября 2026 года;</w:t>
      </w:r>
    </w:p>
    <w:p w14:paraId="310E0575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окончание – не позднее 30 июня 2027 года.</w:t>
      </w:r>
    </w:p>
    <w:p w14:paraId="01F415FA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</w:rPr>
        <w:t>Общая длительность проекта – 10 месяцев.</w:t>
      </w:r>
    </w:p>
    <w:p w14:paraId="0BFBBB57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  <w:highlight w:val="white"/>
        </w:rPr>
      </w:pPr>
    </w:p>
    <w:p w14:paraId="534EAFD4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Требования к победителям</w:t>
      </w:r>
    </w:p>
    <w:p w14:paraId="0CBC43D5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Участие руководителя проекта и/или специалистов/наставников в обучающих мероприятиях Конкурса, работе стажировочных площадок.</w:t>
      </w:r>
    </w:p>
    <w:p w14:paraId="2D82F52F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Обеспечение участия детей, их родителей, специалистов в опросах и исследованиях, проводимых Фондом в рамках Конкурса.</w:t>
      </w:r>
    </w:p>
    <w:p w14:paraId="1404C566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Учет результатов своего проекта в соответствии с указанными в заявке на Конкурс показателями; проведение оценки результатов проекта с участием детей. </w:t>
      </w:r>
    </w:p>
    <w:p w14:paraId="16158BCF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Предоставление промежуточной содержательной отчетности о реализации проекта, итоговой финансовой и содержательной отчетности по результатам завершения проекта.</w:t>
      </w:r>
    </w:p>
    <w:p w14:paraId="53A14F0D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  <w:highlight w:val="white"/>
        </w:rPr>
      </w:pPr>
    </w:p>
    <w:p w14:paraId="6E62912B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Поддержка победителей Конкурса</w:t>
      </w:r>
    </w:p>
    <w:p w14:paraId="56680A97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Победители Конкурса получают комплексную поддержку: </w:t>
      </w:r>
    </w:p>
    <w:p w14:paraId="706B3951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целевое финансирование: пожертвование на реализацию проекта;</w:t>
      </w:r>
    </w:p>
    <w:p w14:paraId="5C82B8EF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экспертную поддержку: консультации по вопросам управления проектами, содержательной деятельности, мониторингу и оценке и пр.;</w:t>
      </w:r>
    </w:p>
    <w:p w14:paraId="1DFD80DE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обучение и обмен опытом: участие в обучающих и дискуссионных мероприятиях (семинары, вебинары и пр.), стажировках и других мероприятиях по обмену опытом;</w:t>
      </w:r>
    </w:p>
    <w:p w14:paraId="21458889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продвижение победителей Конкурса и результатов поддержанных проектов.</w:t>
      </w:r>
    </w:p>
    <w:p w14:paraId="0393B8FA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  <w:highlight w:val="white"/>
        </w:rPr>
      </w:pPr>
    </w:p>
    <w:p w14:paraId="552C140E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Ограничения на использование пожертвования</w:t>
      </w:r>
    </w:p>
    <w:p w14:paraId="170A30A2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Средства, предоставленные организации (победителю Конкурса) в порядке целевого финансирования, могут быть использованы только на осуществление расходов, связанных с реализацией представленного проекта. </w:t>
      </w:r>
    </w:p>
    <w:p w14:paraId="7CF87EA1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 допускается использование предоставленных средств на следующие статьи расходов:</w:t>
      </w:r>
    </w:p>
    <w:p w14:paraId="641EE723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осуществление деятельности, не связанной с представленным проектом;</w:t>
      </w:r>
    </w:p>
    <w:p w14:paraId="10962546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погашение задолженностей, оплату просроченных налогов, сборов, штрафов, пеней, иных обязательных платежей; </w:t>
      </w:r>
    </w:p>
    <w:p w14:paraId="6B20B60F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покрытие долгов организации;</w:t>
      </w:r>
    </w:p>
    <w:p w14:paraId="60F5502A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оплата расходов, 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14:paraId="3E1138B2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приобретение предметов роскоши, алкогольной и табачной продукции;</w:t>
      </w:r>
    </w:p>
    <w:p w14:paraId="35B8CB8C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приобретение материально-технического оборудования в случае его необоснованности (использование для реализации проекта; характеристики; стоимость; возможность аренды);</w:t>
      </w:r>
    </w:p>
    <w:p w14:paraId="0D658D42" w14:textId="77777777" w:rsidR="008243CA" w:rsidRDefault="00453F0C">
      <w:pPr>
        <w:pStyle w:val="af4"/>
        <w:numPr>
          <w:ilvl w:val="0"/>
          <w:numId w:val="5"/>
        </w:numPr>
        <w:ind w:left="425" w:hanging="425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оплата расходов на приобретение недвижимого имущества (включая земельные участки), текущий ремонт и реконструкцию помещений, проведение работ по капитальному строительству и ремонту помещений (включая разработку проектной документации), капитальное строительство новых зданий.</w:t>
      </w:r>
    </w:p>
    <w:p w14:paraId="0BE8D6D3" w14:textId="77777777" w:rsidR="008243CA" w:rsidRDefault="008243CA">
      <w:pPr>
        <w:jc w:val="both"/>
        <w:rPr>
          <w:rFonts w:ascii="Times New Roman" w:hAnsi="Times New Roman"/>
          <w:sz w:val="26"/>
        </w:rPr>
      </w:pPr>
    </w:p>
    <w:p w14:paraId="7E8618D1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Порядок и сроки приема заявок на конкурс</w:t>
      </w:r>
    </w:p>
    <w:p w14:paraId="797304A8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Допустимое количество конкурсных заявок от одной организации: одна.</w:t>
      </w:r>
    </w:p>
    <w:p w14:paraId="4C868F40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Сроки приёма заявок (полный пакет документов): с 17.03.2026 по 28.04.2026 (до 18:00 по московскому времени). </w:t>
      </w:r>
    </w:p>
    <w:p w14:paraId="61326B95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участия в Конкурсе организация – заявитель разрабатывает проект с участием детей и подает заявку на его реализацию только через онлайн-систему Конкурса (</w:t>
      </w:r>
      <w:hyperlink r:id="rId10" w:history="1">
        <w:r w:rsidR="00C615A8" w:rsidRPr="00C615A8">
          <w:rPr>
            <w:rStyle w:val="afc"/>
            <w:rFonts w:ascii="Times New Roman" w:hAnsi="Times New Roman"/>
            <w:sz w:val="28"/>
            <w:szCs w:val="28"/>
          </w:rPr>
          <w:t>«Среда возможностей»</w:t>
        </w:r>
      </w:hyperlink>
      <w:r>
        <w:rPr>
          <w:rFonts w:ascii="Times New Roman" w:hAnsi="Times New Roman"/>
          <w:b/>
          <w:sz w:val="26"/>
        </w:rPr>
        <w:t xml:space="preserve">) – </w:t>
      </w:r>
      <w:r>
        <w:rPr>
          <w:rFonts w:ascii="Times New Roman" w:hAnsi="Times New Roman"/>
          <w:sz w:val="26"/>
        </w:rPr>
        <w:t>(далее – «Портал»). Заявки, направленные другими способами, не рассматриваются.</w:t>
      </w:r>
    </w:p>
    <w:p w14:paraId="66560B18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Операторам конкурса, указанным в п.1.5. Положения, предоставляется доступ к Порталу в пределах определенного Фондом функционала.</w:t>
      </w:r>
    </w:p>
    <w:p w14:paraId="0DF47B01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Приветствуется наличие у участника – руководителя организации - усиленной квалифицированной подписи (УКЭП). Подписание договора благотворительного пожертвования и прочих документов к нему планируется с использованием системы электронного документооборота.</w:t>
      </w:r>
    </w:p>
    <w:p w14:paraId="771F7C53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Заявка на участие в Конкурсе (Приложение №2) в обязательном порядке включает в себя следующие приложения:</w:t>
      </w:r>
    </w:p>
    <w:p w14:paraId="0DF16761" w14:textId="77777777" w:rsidR="008243CA" w:rsidRDefault="00453F0C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Описание деятельности по работе с детьми.</w:t>
      </w:r>
    </w:p>
    <w:p w14:paraId="0117A505" w14:textId="77777777" w:rsidR="008243CA" w:rsidRDefault="00453F0C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Результаты обсуждений/опросов детей.</w:t>
      </w:r>
    </w:p>
    <w:p w14:paraId="03226DD0" w14:textId="77777777" w:rsidR="008243CA" w:rsidRDefault="00453F0C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Описание проекта.</w:t>
      </w:r>
    </w:p>
    <w:p w14:paraId="5ADB727E" w14:textId="77777777" w:rsidR="008243CA" w:rsidRDefault="00453F0C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Бюджет проекта.</w:t>
      </w:r>
    </w:p>
    <w:p w14:paraId="2FC43E60" w14:textId="77777777" w:rsidR="008243CA" w:rsidRDefault="00453F0C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Устав организации (действующая редакция) (со всеми внесёнными изменениями и дополнениями), с отметкой регистрирующего органа, либо гиперссылка на данный документ.</w:t>
      </w:r>
    </w:p>
    <w:p w14:paraId="1699B801" w14:textId="77777777" w:rsidR="008243CA" w:rsidRDefault="00453F0C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Документ, подтверждающий полномочия руководителя (например, приказ/распоряжение/постановление/решение/протокол о назначении и/или продлении полномочия руководителя).</w:t>
      </w:r>
    </w:p>
    <w:p w14:paraId="2234AAA6" w14:textId="77777777" w:rsidR="008243CA" w:rsidRDefault="00453F0C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Свидетельство о государственной регистрации юридического лица.</w:t>
      </w:r>
    </w:p>
    <w:p w14:paraId="59836331" w14:textId="77777777" w:rsidR="008243CA" w:rsidRDefault="00453F0C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Свидетельство о постановке на учет в налоговом органе.</w:t>
      </w:r>
    </w:p>
    <w:p w14:paraId="2081342E" w14:textId="77777777" w:rsidR="008243CA" w:rsidRDefault="00453F0C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Выписка из Единого государственного реестра юридических лиц (ЕГРЮЛ) – срок выписки строго не более 30 дней с даты выдачи.</w:t>
      </w:r>
    </w:p>
    <w:p w14:paraId="17BB9956" w14:textId="77777777" w:rsidR="008243CA" w:rsidRDefault="00453F0C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Банковские реквизиты за подписью руководителя (для государственных и муниципальных учреждений - с указанием ОКТМО и КБК).</w:t>
      </w:r>
    </w:p>
    <w:p w14:paraId="12F63CCE" w14:textId="77777777" w:rsidR="008243CA" w:rsidRDefault="00453F0C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Документ, подтверждающий полномочия лица, которое будет подписывать договор (в случае, если договор будет подписывать не руководитель организации).</w:t>
      </w:r>
    </w:p>
    <w:p w14:paraId="0B876608" w14:textId="77777777" w:rsidR="008243CA" w:rsidRDefault="00453F0C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Отчёт в Министерство юстиции РФ за предшествующий отчётный период или сообщение о продолжении своей деятельности или ссылка на его версию, размещённую на информационном портале Министерства юстиции РФ</w:t>
      </w:r>
      <w:r>
        <w:rPr>
          <w:rStyle w:val="aa"/>
          <w:rFonts w:ascii="Times New Roman" w:hAnsi="Times New Roman"/>
          <w:sz w:val="26"/>
        </w:rPr>
        <w:footnoteReference w:id="1"/>
      </w:r>
      <w:r>
        <w:rPr>
          <w:rFonts w:ascii="Times New Roman" w:hAnsi="Times New Roman"/>
          <w:sz w:val="26"/>
        </w:rPr>
        <w:t xml:space="preserve"> (за исключением государственных и муниципальных учреждений).</w:t>
      </w:r>
    </w:p>
    <w:p w14:paraId="64620769" w14:textId="77777777" w:rsidR="008243CA" w:rsidRDefault="00453F0C">
      <w:pPr>
        <w:pStyle w:val="af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Согласия на обработку персональных данных Заявителя, а также участников проектной команды.</w:t>
      </w:r>
    </w:p>
    <w:p w14:paraId="1FC3446D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Сканы учредительных и финансовых документов предоставляются с отметками регистрирующих органов: Министерство юстиции, Федеральная налоговая служба и др.</w:t>
      </w:r>
    </w:p>
    <w:p w14:paraId="2124D80D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Фонд оставляет за собой право затребовать у организации-заявителя дополнительные документы (при необходимости).</w:t>
      </w:r>
    </w:p>
    <w:p w14:paraId="1D812505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Заявки, представленные в неполном объёме, с нечитабельными документами (в том числе нерабочими ссылками) не допускаются к участию в Конкурсе.</w:t>
      </w:r>
    </w:p>
    <w:p w14:paraId="7E75F06D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Форма подтверждения подачи заявки на участие в Конкурсе, которая будет автоматически сформирована после заполнения всех полей заявки, должна быть подписана руководителем или лицом, имеющим право подписи по доверенности, эта доверенность должна быть также приложена к заявке.</w:t>
      </w:r>
    </w:p>
    <w:p w14:paraId="0D958DF8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Подавая заявку на участие в Конкурсе, организация подтверждает, что:</w:t>
      </w:r>
    </w:p>
    <w:p w14:paraId="3D742D0C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она ознакомлена и согласна с настоящим Положением о проведении Конкурса;</w:t>
      </w:r>
    </w:p>
    <w:p w14:paraId="2CF109EA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информация, предоставленная в заявке и прилагаемых к ней документам, является актуальной и достоверной;</w:t>
      </w:r>
    </w:p>
    <w:p w14:paraId="361626B5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отсутствуют нарушения исключительных прав на результаты интеллектуальной деятельности и приравненные к ним средства индивидуализации (интеллектуальных прав) третьих лиц при заполнении заявки и подготовке прилагаемых к ней документов.</w:t>
      </w:r>
    </w:p>
    <w:p w14:paraId="0AD7B949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10EBDC98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Порядок отбора победителей Конкурса</w:t>
      </w:r>
    </w:p>
    <w:p w14:paraId="437A7A1A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Заявки, поступившие на Конкурс, предварительно проверяются на наличие всех необходимых документов, на соответствие организации-заявителя требованиям к участникам Конкурса и на использование технологий искусственного интеллекта. Заявки, не соответствующие формальным требованиям Конкурса, т.е. п. 1-7 Приложения №1 исключаются из дальнейшего участия. </w:t>
      </w:r>
    </w:p>
    <w:p w14:paraId="4CAB0AD7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Заявки, оформленные с нарушением перечисленных требований настоящего Положения, возвращаются на доработку заявителю. После завершения доработки заявки заявителю необходимо повторно нажать кнопку «Подать заявку». Повторная (вторая и последующие) доработка заявок в период приемной кампании не допускается.</w:t>
      </w:r>
    </w:p>
    <w:p w14:paraId="58CBBA50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Заявки, не соответствующие перечисленным выше требованиям настоящего Положения и поступившие на рассмотрение позднее, чем за 4 (четыре) рабочих дня до окончания срока приема заявок, отклоняются без отправки заявителю на доработку.</w:t>
      </w:r>
    </w:p>
    <w:p w14:paraId="1AB77199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Заявки, не соответствующие формальным требованиям конкурса, т.е. п. 8-16 Приложения №1 допускаются до рассмотрения экспертами со статусом «Зарегистрирована с замечаниями» и должны быть доработаны в случае признания их победителями конкурса.</w:t>
      </w:r>
    </w:p>
    <w:p w14:paraId="0A8DA897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 заявки, прошедшие первичный отбор, указанный в данном пункте Положения, передаются на рассмотрение экспертам. Каждая заявка оценивается 2 (двумя) экспертами в соответствии с критериями, установленными в Положении. </w:t>
      </w:r>
    </w:p>
    <w:p w14:paraId="7789708F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Эксперты конкурса проводят оценку заявок лично, не вступая во взаимодействие с представителями организации, представившей заявку. При необходимости получения дополнительной информации, эксперт вправе запросить ее у организатора конкурса, который будет связываться с заявителями.</w:t>
      </w:r>
    </w:p>
    <w:p w14:paraId="6EB017A1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Эксперт Конкурса не вправе рассматривать заявку организации, если имеются обстоятельства, дающие основание полагать, что эксперт лично, прямо или косвенно заинтересован в результатах рассмотрения заявки.</w:t>
      </w:r>
    </w:p>
    <w:p w14:paraId="74877B17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Каждый эксперт определяет общий балл заявки, исходя из оценки каждого ее критерия. Итоговый балл заявки определяется как среднее значение между общими баллами, выставленными двумя экспертами.</w:t>
      </w:r>
    </w:p>
    <w:p w14:paraId="0C8A0816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разница в баллах между двумя экспертами составляет более 40% от максимального количества возможных баллов, то Организатор Конкурса назначает проведение оценки третьим экспертом. В этом случае средний балл считается, как среднее суммарное значение баллов по трем экспертам.</w:t>
      </w:r>
    </w:p>
    <w:p w14:paraId="2664E8AB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результатам оценки заявок экспертами формируется рейтинг заявок.</w:t>
      </w:r>
    </w:p>
    <w:p w14:paraId="083EB633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основании комментариев экспертов с частью организаций из данного рейтинга будет проведено видео-интервью Организатором Конкурса. </w:t>
      </w:r>
    </w:p>
    <w:p w14:paraId="68E08057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Результаты работы экспертов и результаты видео-интервью передаются Конкурсной комиссии для принятия окончательного решения о победителях Конкурса. </w:t>
      </w:r>
    </w:p>
    <w:p w14:paraId="07A88431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Конкурсная комиссия имеет право рекомендовать организациям, объявленным победителями Конкурса, внести изменения в содержание и/или бюджет проекта. В этом случае окончательное решение о поддержке проекта и сумме его финансирования будет принято только после согласования соответствующих изменений.</w:t>
      </w:r>
    </w:p>
    <w:p w14:paraId="66E40592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 уведомления в рамках проверки и оценки заявок, а именно о допуске, недопуске, доработке заявок, направляются заявителю на адрес электронной почты, указанный на портале при регистрации. Фонд не несет ответственности за несвоевременную проверку заявителем указанной электронной почты, а также за корректную работу </w:t>
      </w:r>
      <w:r>
        <w:rPr>
          <w:rFonts w:ascii="Times New Roman" w:hAnsi="Times New Roman"/>
          <w:sz w:val="26"/>
        </w:rPr>
        <w:lastRenderedPageBreak/>
        <w:t>почтовых сервисов в случае неполучения уведомлений от Фонда на указанный адрес электронной почты заявителя.</w:t>
      </w:r>
    </w:p>
    <w:p w14:paraId="54B68D9A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Фонд не оглашает причины отклонения заявок, не предоставляет рецензии на заявки, не комментирует каким-либо иным образом причины отклонения заявок как на этапе предварительной проверки, так и на последующих этапах. Материалы и документы, предоставленные заявителем для участия в конкурсе возврату, не подлежат.</w:t>
      </w:r>
    </w:p>
    <w:p w14:paraId="7A63256F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Фонд оставляет за собой право использовать информацию, содержащуюся в заявках, в исследовательских и статистических целях.</w:t>
      </w:r>
    </w:p>
    <w:p w14:paraId="48A00105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3D53F3A9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Критерии оценки заявок</w:t>
      </w:r>
    </w:p>
    <w:p w14:paraId="58B761E0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Актуальность проекта для выбранной территории и детей, проживающих на ней.</w:t>
      </w:r>
    </w:p>
    <w:p w14:paraId="0E32B328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Учет мнения детей, их желаний и потребностей (голос ребенка). </w:t>
      </w:r>
    </w:p>
    <w:p w14:paraId="4A0FC4C5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Логичность, реалистичность и результативность проекта.</w:t>
      </w:r>
    </w:p>
    <w:p w14:paraId="59FC9F18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Обоснованность применения форм работы (методы, инструменты, технологии) и подходов по раскрытию и развитию потенциала детей.</w:t>
      </w:r>
    </w:p>
    <w:p w14:paraId="4B703A47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Вовлеченность местного сообщества и партнеров в реализацию проекта.</w:t>
      </w:r>
    </w:p>
    <w:p w14:paraId="2B78987A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 Обоснованность и оптимальность бюджета проекта.</w:t>
      </w:r>
    </w:p>
    <w:p w14:paraId="4C7E3C43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 Состав и роли команды проекта, опыт работы с детьми.</w:t>
      </w:r>
    </w:p>
    <w:p w14:paraId="21DABC2B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 Перспективность проекта для создания/развития поддерживающей и развивающей среды для детей.</w:t>
      </w:r>
    </w:p>
    <w:p w14:paraId="5F7191B0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22EF0580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Поддержка проектов победителей Конкурса</w:t>
      </w:r>
    </w:p>
    <w:p w14:paraId="46B2BCF1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период с 20.07.2026-31.08.2026</w:t>
      </w:r>
      <w:r>
        <w:rPr>
          <w:rStyle w:val="aa"/>
          <w:rFonts w:ascii="Times New Roman" w:hAnsi="Times New Roman"/>
          <w:sz w:val="26"/>
        </w:rPr>
        <w:footnoteReference w:id="2"/>
      </w:r>
      <w:r>
        <w:rPr>
          <w:rFonts w:ascii="Times New Roman" w:hAnsi="Times New Roman"/>
          <w:sz w:val="26"/>
        </w:rPr>
        <w:t xml:space="preserve"> Фонд заключает с победителями Конкурса договор о целевом финансировании проекта (договор благотворительного пожертвования):</w:t>
      </w:r>
    </w:p>
    <w:p w14:paraId="5207414B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На каждого члена команды проекта, включая руководителя и бухгалтера, организации, необходимо предоставить оригиналы информированного согласия физического лица на обработку персональных данных, в рамках организации и проведения Конкурса.</w:t>
      </w:r>
    </w:p>
    <w:p w14:paraId="7B60A89E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Организация несёт ответственность за предоставление полных и достоверных сведений, включая информацию о банковских реквизитах. В случае предоставления некорректной информации, Фонд имеет право отказать в финансировании проекта в одностороннем порядке.</w:t>
      </w:r>
    </w:p>
    <w:p w14:paraId="4631B573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В случае наличия рекомендаций к содержанию и/или бюджету проекта, договор заключается после окончательного согласования полного комплекта заявки. В случае, если организация не предоставляет финальные версии документов в срок до 20.08.2026 г., договор не заключается.</w:t>
      </w:r>
    </w:p>
    <w:p w14:paraId="7C0AE6F3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 Порядок предоставления целевого финансирования на реализацию проекта производится в соответствии с договором. </w:t>
      </w:r>
    </w:p>
    <w:p w14:paraId="494AE0E1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5. Фонд оставляет за собой право отказать Победителю Конкурса в заключении договора благотворительного пожертвования в случае непредоставления всех необходимых документов, предусмотренных Положением. </w:t>
      </w:r>
    </w:p>
    <w:p w14:paraId="58A1E118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 Фонд оставляет за собой право отменить победу заявки в Конкурсе в случае выявления дополнительных обстоятельств, касающихся победителя и/или предлагаемого победителем Проекта, на любом этапе реализации проекта. Фонд вправе отказаться от заключения договора с победителем Конкурса в случае выявления обстоятельств о победителе, препятствующих заключению соответствующего договора.</w:t>
      </w:r>
    </w:p>
    <w:p w14:paraId="554528E3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593E7E21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Отчетность благополучателей</w:t>
      </w:r>
    </w:p>
    <w:p w14:paraId="4D79A6E2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условиями договора, заключённого с победителем Конкурса, Фонд осуществляет контроль расходования целевых средств.</w:t>
      </w:r>
    </w:p>
    <w:p w14:paraId="4F03FF59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и сроки предоставления отчетности определяются в договоре между Фондом и победителем Конкурса.</w:t>
      </w:r>
    </w:p>
    <w:p w14:paraId="6767CB9A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Расходы по проекту, понесенные до момента поступления средств пожертвования на расчетный счет Благополучателя, или понесенные ранее, чем сроки проекта, указанные в заявке, не допускаются. Финансовые документы, подтверждающие такие расходы, к отчету не принимаются.</w:t>
      </w:r>
    </w:p>
    <w:p w14:paraId="13FABDB9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Отчет благополучателя принимается Фондом только при условии полного предоставления всех отчетных документов, указанных в настоящем Положении и Договоре благотворительного пожертвования. В случае использования персональных данных детей и их передачи Фонду в рамках проекта, благополучатель обязуется обеспечить надлежащее оформление передачи Фонду соответствующих персональных данных несовершеннолетних детей в соответствии с требованиями законодательства о персональных данных.</w:t>
      </w:r>
    </w:p>
    <w:p w14:paraId="154D0F77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нарушения победителями конкурса правил отчетности по Проектам, Фонд оставляет за собой право не допускать нарушителей к участию в следующих Конкурсах.</w:t>
      </w:r>
    </w:p>
    <w:p w14:paraId="485716FB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Фонд оставляет за собой право проводить выборочный мониторинг и оценку поддержанных проектов.</w:t>
      </w:r>
    </w:p>
    <w:p w14:paraId="5019715A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процессе рассмотрения отчётов Фонд вправе запросить дополнительную информацию и/или документы, необходимые для получения полного представления о ходе и итогах реализации проекта, в том числе фото – и видеоматериалы. </w:t>
      </w:r>
    </w:p>
    <w:p w14:paraId="7B1E5F2F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Вся отчётность предоставляется на портале, по установленным формам и согласно Приложениям к Договору.</w:t>
      </w:r>
    </w:p>
    <w:p w14:paraId="573697F1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646FDAC8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Использование персональных данных</w:t>
      </w:r>
    </w:p>
    <w:p w14:paraId="32290984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 лица, участвующие в Конкурсе и реализации проектов (далее - «Субъекты обработки персональных данных») дают свое согласие и соглашаются на то, что любая предоставленная ими информация, в том числе персональные данные, могут обрабатываться Фондом и/или его уполномоченными представителями, привлекаемыми Фондом к проведению Конкурса с применением следующих основных способов (но не ограничиваясь ими): сбор, хранение, запись на </w:t>
      </w:r>
      <w:r>
        <w:rPr>
          <w:rFonts w:ascii="Times New Roman" w:hAnsi="Times New Roman"/>
          <w:sz w:val="26"/>
        </w:rPr>
        <w:lastRenderedPageBreak/>
        <w:t>электронные носители, систематизация, передача, удаление, уничтожение указанных в Федеральном законе от 27.07.2006 №152-ФЗ «О персональных данных».</w:t>
      </w:r>
    </w:p>
    <w:p w14:paraId="6B5EE524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Целями обработки персональных данных являются участие заявителей в Конкурсе Фонда и в благотворительных программах Фонда (в том числе, но не исключая, осуществления рассылок, проведения исследований, анкетирования, интервью, оценки благотворительных программ Фонда, информирования общественности о деятельности Фонда и поддержанных проектов, проведения мероприятий мониторинга и внутреннего контроля).</w:t>
      </w:r>
    </w:p>
    <w:p w14:paraId="32898E44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Субъекты персональных данных (участники проектной команды) также дают свое согласие Фонду на обнародование и использование своих фото, видеосъемки проекта, презентаций проектов, полученных в ходе реализации Конкурса/благотворительных программ/проектов.</w:t>
      </w:r>
    </w:p>
    <w:p w14:paraId="622387AA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Субъекты персональных данных подтверждают, что все материалы, предоставленные Фонду и/или уполномоченному представителю Фонда по проведению конкурса, могут быть использованы в социальных сетях, видеотрансляциях, в сети интернет, печатных СМИ, а также посредством использования иных способов информирования общественности.</w:t>
      </w:r>
    </w:p>
    <w:p w14:paraId="0818711C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Участники Конкурса берут на себя обязательства организовать получение от других членов команды проекта согласий на обработку их персональных данных, на использование фотографий и видеозаписей с ними, и несут полную ответственность за отсутствие таких согласий в соответствии с законодательством Российской Федерации в области персональных данных.</w:t>
      </w:r>
    </w:p>
    <w:p w14:paraId="2CB7E550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Согласия на обработку персональных данных субъектов персональных данных, на использование Фондом фотографий и видеозаписей с ними предоставляются заявителями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и могут быть отозваны путем направления соответствующего письменного уведомления Фонду.</w:t>
      </w:r>
    </w:p>
    <w:p w14:paraId="25E4F300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Отзыв субъектом персональных данных согласия на обработку персональных данных влечет за собой выход соответствующего заявителя (в рамках реализации проекта которого осуществляет деятельность соответствующий субъект персональных данных) из участия в Конкурсе и делает невозможным его дальнейшее участие в Конкурсе.</w:t>
      </w:r>
    </w:p>
    <w:p w14:paraId="5B4AFEAC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Отсутствие согласий на обработку персональных данных, согласий на использование изображений, фото и видео материалов с участием субъектов персональных данных, в отношении всех участников реализации проекта со стороны заявителя, или оформление указанных согласий с нарушениями положений действующего законодательства РФ, является самостоятельным основанием для отказа Фонда в рассмотрении заявки соответствующего заявителя.</w:t>
      </w:r>
    </w:p>
    <w:p w14:paraId="6718E4BF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410C728A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Прочие условия</w:t>
      </w:r>
    </w:p>
    <w:p w14:paraId="1592FB57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Участие в Конкурсе и передача документов Фонду означает полное и безоговорочное согласие участника с правилами его проведения.</w:t>
      </w:r>
    </w:p>
    <w:p w14:paraId="42C0FEF7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Заявители вправе отозвать проект от участия в Конкурсе на любом этапе Конкурса до перечисления средств целевого финансирования. </w:t>
      </w:r>
    </w:p>
    <w:p w14:paraId="010212B7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Фонд оставляет за собой право использовать информацию об участниках Конкурса и их проектах (в том числе информацию из отчетной документации по проекту, информацию о результатах мониторинга) по своему усмотрению, в том числе распространять ее в открытых источниках, в том числе на сайте Фонда, на страницах социальных сетей Фонда, в других издаваемых материалах, с целью информирования широкой аудитории о работе Фонда. </w:t>
      </w:r>
    </w:p>
    <w:p w14:paraId="4794A6CF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предъявления требований, претензий и исков третьих лиц, в том числе обладателей авторских и смежных прав на представленный проект (объекты интеллектуальной деятельности, используемые или созданные при реализации проекта), участник Конкурса обязуется разрешать их от своего имени и за свой счёт.</w:t>
      </w:r>
    </w:p>
    <w:p w14:paraId="2CD0331C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необходимости внести изменения в настоящее Положение, Фонд вносит такие изменения и размещает обновленный вариант Положения на сайте https://lk.fondtimchenko.ru/public/home/documents.</w:t>
      </w:r>
    </w:p>
    <w:p w14:paraId="4A458B4B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Изменения могут быть внесены в Положение в любой срок до момента объявления победителей. </w:t>
      </w:r>
    </w:p>
    <w:p w14:paraId="68FD9914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Конкурс может быть отменен на любом этапе, вплоть до момента заключения договоров благотворительного пожертвования с победителями конкурса.</w:t>
      </w:r>
    </w:p>
    <w:p w14:paraId="63E6967D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Конкурс также может быть отменен на любом этапе его проведения по причине действия непреодолимой силы и/или прекращения финансирования.</w:t>
      </w:r>
    </w:p>
    <w:p w14:paraId="20282DC7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Участникам Конкурса не выплачивается компенсация расходов на подготовку документации для участия в Конкурсе, а также иных расходов, связанных с участием в Конкурсе, в том числе в случае отмены/изменения условий Конкурса по инициативе Фонда.</w:t>
      </w:r>
    </w:p>
    <w:p w14:paraId="4070E224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45A0576B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ind w:left="425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План-график Конкурса</w:t>
      </w:r>
    </w:p>
    <w:p w14:paraId="334683A1" w14:textId="77777777" w:rsidR="008243CA" w:rsidRDefault="008243CA"/>
    <w:tbl>
      <w:tblPr>
        <w:tblStyle w:val="affb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954"/>
      </w:tblGrid>
      <w:tr w:rsidR="008243CA" w14:paraId="1252A02D" w14:textId="77777777">
        <w:tc>
          <w:tcPr>
            <w:tcW w:w="4390" w:type="dxa"/>
          </w:tcPr>
          <w:p w14:paraId="33349693" w14:textId="77777777" w:rsidR="008243CA" w:rsidRDefault="00453F0C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>17.03.2026</w:t>
            </w:r>
          </w:p>
        </w:tc>
        <w:tc>
          <w:tcPr>
            <w:tcW w:w="4954" w:type="dxa"/>
          </w:tcPr>
          <w:p w14:paraId="03814C23" w14:textId="77777777" w:rsidR="008243CA" w:rsidRDefault="00453F0C">
            <w:pPr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Объявление о проведении Конкурса</w:t>
            </w:r>
          </w:p>
        </w:tc>
      </w:tr>
      <w:tr w:rsidR="008243CA" w14:paraId="7A5A0442" w14:textId="77777777">
        <w:tc>
          <w:tcPr>
            <w:tcW w:w="4390" w:type="dxa"/>
          </w:tcPr>
          <w:p w14:paraId="06D7A070" w14:textId="77777777" w:rsidR="008243CA" w:rsidRDefault="00453F0C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>17.03.202 – 28.04.2026</w:t>
            </w:r>
          </w:p>
        </w:tc>
        <w:tc>
          <w:tcPr>
            <w:tcW w:w="4954" w:type="dxa"/>
          </w:tcPr>
          <w:p w14:paraId="1932A41C" w14:textId="77777777" w:rsidR="008243CA" w:rsidRDefault="00453F0C">
            <w:pPr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Приём заявок.</w:t>
            </w:r>
          </w:p>
          <w:p w14:paraId="46CE7B39" w14:textId="77777777" w:rsidR="008243CA" w:rsidRDefault="00453F0C">
            <w:pPr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Консультации заявителей</w:t>
            </w:r>
          </w:p>
        </w:tc>
      </w:tr>
      <w:tr w:rsidR="008243CA" w14:paraId="24CED3B7" w14:textId="77777777">
        <w:tc>
          <w:tcPr>
            <w:tcW w:w="4390" w:type="dxa"/>
          </w:tcPr>
          <w:p w14:paraId="6A624DE9" w14:textId="77777777" w:rsidR="008243CA" w:rsidRDefault="00453F0C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>26.03.2026</w:t>
            </w:r>
          </w:p>
        </w:tc>
        <w:tc>
          <w:tcPr>
            <w:tcW w:w="4954" w:type="dxa"/>
          </w:tcPr>
          <w:p w14:paraId="5853E040" w14:textId="77777777" w:rsidR="008243CA" w:rsidRDefault="00453F0C">
            <w:pPr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Вебинар для заявителей</w:t>
            </w:r>
          </w:p>
        </w:tc>
      </w:tr>
      <w:tr w:rsidR="008243CA" w14:paraId="7EF54025" w14:textId="77777777">
        <w:tc>
          <w:tcPr>
            <w:tcW w:w="4390" w:type="dxa"/>
          </w:tcPr>
          <w:p w14:paraId="2D9CCC81" w14:textId="77777777" w:rsidR="008243CA" w:rsidRDefault="00453F0C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>09.04.2026</w:t>
            </w:r>
          </w:p>
        </w:tc>
        <w:tc>
          <w:tcPr>
            <w:tcW w:w="4954" w:type="dxa"/>
          </w:tcPr>
          <w:p w14:paraId="735E2D1A" w14:textId="77777777" w:rsidR="008243CA" w:rsidRDefault="00453F0C">
            <w:pPr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Вебинар для заявителей</w:t>
            </w:r>
          </w:p>
        </w:tc>
      </w:tr>
      <w:tr w:rsidR="008243CA" w14:paraId="20A4CBB2" w14:textId="77777777">
        <w:tc>
          <w:tcPr>
            <w:tcW w:w="4390" w:type="dxa"/>
          </w:tcPr>
          <w:p w14:paraId="21AAB578" w14:textId="77777777" w:rsidR="008243CA" w:rsidRDefault="00453F0C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 xml:space="preserve">28.04.2026 18:00 по </w:t>
            </w:r>
          </w:p>
          <w:p w14:paraId="2D0070F8" w14:textId="77777777" w:rsidR="008243CA" w:rsidRDefault="00453F0C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>московскому времени</w:t>
            </w:r>
          </w:p>
        </w:tc>
        <w:tc>
          <w:tcPr>
            <w:tcW w:w="4954" w:type="dxa"/>
          </w:tcPr>
          <w:p w14:paraId="04FAB2AA" w14:textId="77777777" w:rsidR="008243CA" w:rsidRDefault="00453F0C">
            <w:pPr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Окончание приёма заявок на Конкурс</w:t>
            </w:r>
          </w:p>
        </w:tc>
      </w:tr>
      <w:tr w:rsidR="008243CA" w14:paraId="7C18109E" w14:textId="77777777">
        <w:tc>
          <w:tcPr>
            <w:tcW w:w="4390" w:type="dxa"/>
          </w:tcPr>
          <w:p w14:paraId="6D273E62" w14:textId="77777777" w:rsidR="008243CA" w:rsidRDefault="0045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sz w:val="26"/>
              </w:rPr>
            </w:pPr>
            <w:r>
              <w:rPr>
                <w:sz w:val="26"/>
              </w:rPr>
              <w:t>до 18.05.2026</w:t>
            </w:r>
          </w:p>
        </w:tc>
        <w:tc>
          <w:tcPr>
            <w:tcW w:w="4954" w:type="dxa"/>
          </w:tcPr>
          <w:p w14:paraId="159123D3" w14:textId="77777777" w:rsidR="008243CA" w:rsidRDefault="00453F0C">
            <w:pPr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Отбор заявок по формальным признакам</w:t>
            </w:r>
          </w:p>
        </w:tc>
      </w:tr>
      <w:tr w:rsidR="008243CA" w14:paraId="65CF4543" w14:textId="77777777">
        <w:tc>
          <w:tcPr>
            <w:tcW w:w="4390" w:type="dxa"/>
          </w:tcPr>
          <w:p w14:paraId="42427BBA" w14:textId="77777777" w:rsidR="008243CA" w:rsidRDefault="00453F0C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>22.05.2026 – 14.07.2026</w:t>
            </w:r>
          </w:p>
        </w:tc>
        <w:tc>
          <w:tcPr>
            <w:tcW w:w="4954" w:type="dxa"/>
          </w:tcPr>
          <w:p w14:paraId="0B917201" w14:textId="77777777" w:rsidR="008243CA" w:rsidRDefault="0045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Работа экспертов и Конкурсной комиссии по отбору проектов-победителей</w:t>
            </w:r>
          </w:p>
        </w:tc>
      </w:tr>
      <w:tr w:rsidR="008243CA" w14:paraId="7D187AA6" w14:textId="77777777">
        <w:tc>
          <w:tcPr>
            <w:tcW w:w="4390" w:type="dxa"/>
          </w:tcPr>
          <w:p w14:paraId="5BA0FE52" w14:textId="77777777" w:rsidR="008243CA" w:rsidRDefault="00453F0C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>15.07.2026</w:t>
            </w:r>
          </w:p>
        </w:tc>
        <w:tc>
          <w:tcPr>
            <w:tcW w:w="4954" w:type="dxa"/>
          </w:tcPr>
          <w:p w14:paraId="4A49679B" w14:textId="77777777" w:rsidR="008243CA" w:rsidRDefault="00453F0C">
            <w:pPr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Объявление победителей Конкурса</w:t>
            </w:r>
          </w:p>
        </w:tc>
      </w:tr>
      <w:tr w:rsidR="008243CA" w14:paraId="7316C05C" w14:textId="77777777">
        <w:tc>
          <w:tcPr>
            <w:tcW w:w="4390" w:type="dxa"/>
          </w:tcPr>
          <w:p w14:paraId="2F262E3D" w14:textId="77777777" w:rsidR="008243CA" w:rsidRDefault="0045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sz w:val="26"/>
              </w:rPr>
            </w:pPr>
            <w:r>
              <w:rPr>
                <w:sz w:val="26"/>
              </w:rPr>
              <w:t>20.07.2026 – 31.08.2026</w:t>
            </w:r>
          </w:p>
          <w:p w14:paraId="66C89E6B" w14:textId="77777777" w:rsidR="008243CA" w:rsidRDefault="008243CA">
            <w:pPr>
              <w:spacing w:after="120"/>
              <w:rPr>
                <w:sz w:val="26"/>
              </w:rPr>
            </w:pPr>
          </w:p>
        </w:tc>
        <w:tc>
          <w:tcPr>
            <w:tcW w:w="4954" w:type="dxa"/>
          </w:tcPr>
          <w:p w14:paraId="39725AEB" w14:textId="77777777" w:rsidR="008243CA" w:rsidRDefault="0045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sz w:val="26"/>
              </w:rPr>
            </w:pPr>
            <w:r>
              <w:rPr>
                <w:sz w:val="26"/>
              </w:rPr>
              <w:t xml:space="preserve">Доработка поддержанных заявок. Заключение договоров о целевом финансировании, перечисление целевых средств на реализацию проектов – </w:t>
            </w:r>
            <w:r>
              <w:rPr>
                <w:sz w:val="26"/>
              </w:rPr>
              <w:lastRenderedPageBreak/>
              <w:t>победителей Конкурса</w:t>
            </w:r>
          </w:p>
        </w:tc>
      </w:tr>
      <w:tr w:rsidR="008243CA" w14:paraId="4E4F53F3" w14:textId="77777777">
        <w:tc>
          <w:tcPr>
            <w:tcW w:w="4390" w:type="dxa"/>
          </w:tcPr>
          <w:p w14:paraId="4ADE8534" w14:textId="77777777" w:rsidR="008243CA" w:rsidRDefault="00453F0C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lastRenderedPageBreak/>
              <w:t>01.09.2026 – 30.06.2027</w:t>
            </w:r>
          </w:p>
        </w:tc>
        <w:tc>
          <w:tcPr>
            <w:tcW w:w="4954" w:type="dxa"/>
          </w:tcPr>
          <w:p w14:paraId="55A8F86D" w14:textId="77777777" w:rsidR="008243CA" w:rsidRDefault="0045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Реализация поддержанных проектов</w:t>
            </w:r>
          </w:p>
        </w:tc>
      </w:tr>
    </w:tbl>
    <w:p w14:paraId="54546FC3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4650678D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15A172A7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6DB82FC1" w14:textId="77777777" w:rsidR="008243CA" w:rsidRDefault="00453F0C">
      <w:pPr>
        <w:pStyle w:val="3"/>
        <w:keepNext w:val="0"/>
        <w:widowControl w:val="0"/>
        <w:numPr>
          <w:ilvl w:val="0"/>
          <w:numId w:val="1"/>
        </w:numPr>
        <w:spacing w:before="0" w:after="12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Контактная информация</w:t>
      </w:r>
    </w:p>
    <w:p w14:paraId="4E0CFD11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Контактные лица по всем вопросам, связанным с организацией и проведением Конкурса: </w:t>
      </w:r>
    </w:p>
    <w:p w14:paraId="63555C0D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Ивинский Виктор</w:t>
      </w:r>
    </w:p>
    <w:p w14:paraId="5CB9479F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8 (495) 539-31-76, srv@fondtimchenko.ru </w:t>
      </w:r>
    </w:p>
    <w:p w14:paraId="4AFD83FD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7ABD69F5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Горячая линия Конкурса:</w:t>
      </w:r>
    </w:p>
    <w:p w14:paraId="4F96CF2B" w14:textId="77777777" w:rsidR="008243CA" w:rsidRDefault="00453F0C">
      <w:pPr>
        <w:pStyle w:val="af4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bookmarkStart w:id="3" w:name="_Hlk224289473"/>
      <w:r>
        <w:rPr>
          <w:rFonts w:ascii="Times New Roman" w:hAnsi="Times New Roman"/>
          <w:sz w:val="26"/>
        </w:rPr>
        <w:t>Центральный, Северо-Западный, Южный и Северо-Кавказский, Приволжский федеральные округа</w:t>
      </w:r>
    </w:p>
    <w:p w14:paraId="67968580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Селиверстова Вера, Кузнецова</w:t>
      </w:r>
      <w:bookmarkStart w:id="4" w:name="_Hlk207191975"/>
      <w:r>
        <w:rPr>
          <w:rFonts w:ascii="Times New Roman" w:hAnsi="Times New Roman"/>
          <w:sz w:val="26"/>
        </w:rPr>
        <w:t xml:space="preserve"> Ирина</w:t>
      </w:r>
      <w:bookmarkEnd w:id="4"/>
    </w:p>
    <w:p w14:paraId="148C7A63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8 (800) 550-48-25, srv@fondtimchenko.ru </w:t>
      </w:r>
    </w:p>
    <w:p w14:paraId="6C3FD73E" w14:textId="77777777" w:rsidR="008243CA" w:rsidRDefault="00453F0C">
      <w:pPr>
        <w:pStyle w:val="af4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Уральский, Сибирский и Дальневосточный федеральные округа</w:t>
      </w:r>
    </w:p>
    <w:p w14:paraId="683156F6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8(423) 2-40-81-49, srv@fondtimchenko.ru </w:t>
      </w:r>
    </w:p>
    <w:p w14:paraId="47E21BDE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Баженова Светлана, Дружинина Анна, Белик Елена </w:t>
      </w:r>
      <w:bookmarkEnd w:id="3"/>
    </w:p>
    <w:p w14:paraId="48540132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59BEA411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Приложения к Положению:</w:t>
      </w:r>
    </w:p>
    <w:p w14:paraId="01A91644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</w:t>
      </w:r>
      <w:r w:rsidR="00C615A8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– Форма заявки</w:t>
      </w:r>
    </w:p>
    <w:p w14:paraId="4EC7EC5E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66C3BECB" w14:textId="77777777" w:rsidR="008243CA" w:rsidRDefault="00453F0C">
      <w:pPr>
        <w:pageBreakBefore/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Приложение № </w:t>
      </w:r>
      <w:r w:rsidR="00C615A8">
        <w:rPr>
          <w:rFonts w:ascii="Times New Roman" w:hAnsi="Times New Roman"/>
          <w:sz w:val="26"/>
        </w:rPr>
        <w:t>1</w:t>
      </w:r>
    </w:p>
    <w:p w14:paraId="7E7B6595" w14:textId="77777777" w:rsidR="008243CA" w:rsidRDefault="00453F0C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Положению об открытом конкурсе проектов </w:t>
      </w:r>
    </w:p>
    <w:p w14:paraId="5EF4FE49" w14:textId="77777777" w:rsidR="008243CA" w:rsidRDefault="00453F0C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раскрытию и развитию потенциала </w:t>
      </w:r>
    </w:p>
    <w:p w14:paraId="77CC2BC7" w14:textId="77777777" w:rsidR="008243CA" w:rsidRDefault="00453F0C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детей на малых территориях</w:t>
      </w:r>
    </w:p>
    <w:p w14:paraId="6EB87BC2" w14:textId="77777777" w:rsidR="008243CA" w:rsidRDefault="00453F0C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«Среда возможностей» 2026 г.</w:t>
      </w:r>
    </w:p>
    <w:p w14:paraId="3670B518" w14:textId="77777777" w:rsidR="008243CA" w:rsidRDefault="008243CA">
      <w:pPr>
        <w:spacing w:after="120" w:line="240" w:lineRule="auto"/>
        <w:jc w:val="right"/>
        <w:rPr>
          <w:rFonts w:ascii="Times New Roman" w:hAnsi="Times New Roman"/>
          <w:sz w:val="26"/>
        </w:rPr>
      </w:pPr>
    </w:p>
    <w:p w14:paraId="1CE017B0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Форма заявки</w:t>
      </w:r>
    </w:p>
    <w:p w14:paraId="5BF976BB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I.</w:t>
      </w:r>
      <w:r>
        <w:rPr>
          <w:rFonts w:ascii="Times New Roman" w:hAnsi="Times New Roman"/>
          <w:b/>
          <w:sz w:val="26"/>
        </w:rPr>
        <w:tab/>
        <w:t>Описание деятельности</w:t>
      </w:r>
    </w:p>
    <w:p w14:paraId="0C4CBBD4" w14:textId="77777777" w:rsidR="008243CA" w:rsidRDefault="00453F0C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Описание существующей среды</w:t>
      </w:r>
    </w:p>
    <w:p w14:paraId="76CE69F6" w14:textId="77777777" w:rsidR="008243CA" w:rsidRDefault="00453F0C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Деятельность организации </w:t>
      </w:r>
    </w:p>
    <w:p w14:paraId="67C3FA2D" w14:textId="77777777" w:rsidR="008243CA" w:rsidRDefault="00453F0C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Как и где вы рассказываете о своей организации, работе, где дети, местные жители, другие организации могут узнать об актуальных событиях вашей деятельности, проектов</w:t>
      </w:r>
    </w:p>
    <w:p w14:paraId="64617B45" w14:textId="77777777" w:rsidR="008243CA" w:rsidRDefault="00453F0C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Наставничество</w:t>
      </w:r>
    </w:p>
    <w:p w14:paraId="0AC2E7A0" w14:textId="77777777" w:rsidR="008243CA" w:rsidRDefault="00453F0C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425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Взаимодействие и роль детей в проекте </w:t>
      </w:r>
    </w:p>
    <w:p w14:paraId="723CABA1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</w:p>
    <w:p w14:paraId="1C913CC5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II.</w:t>
      </w:r>
      <w:r>
        <w:rPr>
          <w:rFonts w:ascii="Times New Roman" w:hAnsi="Times New Roman"/>
          <w:b/>
          <w:sz w:val="26"/>
        </w:rPr>
        <w:tab/>
        <w:t>О проекте</w:t>
      </w:r>
    </w:p>
    <w:p w14:paraId="0AD52005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Тематика/направление деятельности</w:t>
      </w:r>
    </w:p>
    <w:p w14:paraId="2D3A1A1D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Название проекта</w:t>
      </w:r>
    </w:p>
    <w:p w14:paraId="29088A27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Краткое описание проекта</w:t>
      </w:r>
    </w:p>
    <w:p w14:paraId="47A8B5D0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География проекта:</w:t>
      </w:r>
    </w:p>
    <w:p w14:paraId="2E53B685" w14:textId="77777777" w:rsidR="008243CA" w:rsidRDefault="00453F0C">
      <w:pPr>
        <w:pStyle w:val="af4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Федеральный округ </w:t>
      </w:r>
    </w:p>
    <w:p w14:paraId="5C8DCA81" w14:textId="77777777" w:rsidR="008243CA" w:rsidRDefault="00453F0C">
      <w:pPr>
        <w:pStyle w:val="af4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Регион </w:t>
      </w:r>
    </w:p>
    <w:p w14:paraId="469EADED" w14:textId="77777777" w:rsidR="008243CA" w:rsidRDefault="00453F0C">
      <w:pPr>
        <w:pStyle w:val="af4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Название населенного пункта</w:t>
      </w:r>
    </w:p>
    <w:p w14:paraId="508328A0" w14:textId="77777777" w:rsidR="008243CA" w:rsidRDefault="00453F0C">
      <w:pPr>
        <w:pStyle w:val="af4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Численность населения</w:t>
      </w:r>
    </w:p>
    <w:p w14:paraId="52BA5F8F" w14:textId="77777777" w:rsidR="008243CA" w:rsidRDefault="00453F0C">
      <w:pPr>
        <w:pStyle w:val="af4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Тип территории</w:t>
      </w:r>
    </w:p>
    <w:p w14:paraId="52F0DE32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начала реализации проекта</w:t>
      </w:r>
    </w:p>
    <w:p w14:paraId="7D88F78E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окончания реализации проекта</w:t>
      </w:r>
    </w:p>
    <w:p w14:paraId="0A8E0929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Целевые группы проекта</w:t>
      </w:r>
    </w:p>
    <w:p w14:paraId="06022611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Цель проекта</w:t>
      </w:r>
    </w:p>
    <w:p w14:paraId="1B7B082F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Задачи проекта</w:t>
      </w:r>
    </w:p>
    <w:p w14:paraId="59F5BAC8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Механизм реализации</w:t>
      </w:r>
    </w:p>
    <w:p w14:paraId="430B5DFA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Изменения в деятельности организации</w:t>
      </w:r>
    </w:p>
    <w:p w14:paraId="26211910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Взаимодействие с детьми в рамках проекта</w:t>
      </w:r>
    </w:p>
    <w:p w14:paraId="5ECB3B19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Вовлечение новых детей к работе проекта</w:t>
      </w:r>
    </w:p>
    <w:p w14:paraId="35A72871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Взаимодействие с родителями, местными жителями и партнерами</w:t>
      </w:r>
    </w:p>
    <w:p w14:paraId="68C74247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Количественные результаты</w:t>
      </w:r>
    </w:p>
    <w:p w14:paraId="3F4685B8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Количественные результаты (индивидуальные показатели)</w:t>
      </w:r>
    </w:p>
    <w:p w14:paraId="0F84BB37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Ожидаемые качественные результаты проекта</w:t>
      </w:r>
    </w:p>
    <w:p w14:paraId="720ED883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Ресурсы проекта</w:t>
      </w:r>
    </w:p>
    <w:p w14:paraId="3E9507E2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Объем софинансирования</w:t>
      </w:r>
    </w:p>
    <w:p w14:paraId="765C5153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Шаги по созданию/развитию среды на 3 года</w:t>
      </w:r>
    </w:p>
    <w:p w14:paraId="4EA8D064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Риски, ограничения и негативные факторы</w:t>
      </w:r>
    </w:p>
    <w:p w14:paraId="3D4F7441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Устойчивость проекта</w:t>
      </w:r>
    </w:p>
    <w:p w14:paraId="2C2BB8FB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Партнеры проекта</w:t>
      </w:r>
    </w:p>
    <w:p w14:paraId="24644715" w14:textId="77777777" w:rsidR="008243CA" w:rsidRDefault="00453F0C">
      <w:pPr>
        <w:pStyle w:val="af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Дополнительные материалы о проекте</w:t>
      </w:r>
    </w:p>
    <w:p w14:paraId="3607B890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</w:p>
    <w:p w14:paraId="61402E2C" w14:textId="77777777" w:rsidR="008243CA" w:rsidRDefault="00453F0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</w:p>
    <w:p w14:paraId="76384139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</w:p>
    <w:p w14:paraId="672B0F7B" w14:textId="77777777" w:rsidR="008243CA" w:rsidRDefault="00453F0C">
      <w:pPr>
        <w:pStyle w:val="af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709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Календарный план</w:t>
      </w: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727"/>
        <w:gridCol w:w="2552"/>
        <w:gridCol w:w="1701"/>
        <w:gridCol w:w="1750"/>
        <w:gridCol w:w="1652"/>
      </w:tblGrid>
      <w:tr w:rsidR="008243CA" w14:paraId="1E0948E1" w14:textId="77777777">
        <w:trPr>
          <w:trHeight w:val="810"/>
        </w:trPr>
        <w:tc>
          <w:tcPr>
            <w:tcW w:w="418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79FDD18C" w14:textId="77777777" w:rsidR="008243CA" w:rsidRDefault="008243CA">
            <w:pPr>
              <w:pStyle w:val="TableParagraph"/>
              <w:widowControl/>
              <w:spacing w:before="90"/>
              <w:rPr>
                <w:sz w:val="26"/>
              </w:rPr>
            </w:pPr>
          </w:p>
          <w:p w14:paraId="195CEF55" w14:textId="77777777" w:rsidR="008243CA" w:rsidRDefault="00453F0C">
            <w:pPr>
              <w:pStyle w:val="TableParagraph"/>
              <w:widowControl/>
              <w:spacing w:before="1"/>
              <w:ind w:left="118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</w:tc>
        <w:tc>
          <w:tcPr>
            <w:tcW w:w="172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D5652F1" w14:textId="77777777" w:rsidR="008243CA" w:rsidRDefault="008243CA">
            <w:pPr>
              <w:pStyle w:val="TableParagraph"/>
              <w:widowControl/>
              <w:spacing w:before="90"/>
              <w:jc w:val="center"/>
              <w:rPr>
                <w:sz w:val="26"/>
              </w:rPr>
            </w:pPr>
          </w:p>
          <w:p w14:paraId="13B8B0D5" w14:textId="77777777" w:rsidR="008243CA" w:rsidRDefault="00453F0C">
            <w:pPr>
              <w:pStyle w:val="TableParagraph"/>
              <w:widowControl/>
              <w:spacing w:before="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Решаемая </w:t>
            </w:r>
            <w:r>
              <w:rPr>
                <w:spacing w:val="-2"/>
                <w:sz w:val="26"/>
              </w:rPr>
              <w:t>задача</w:t>
            </w:r>
          </w:p>
        </w:tc>
        <w:tc>
          <w:tcPr>
            <w:tcW w:w="2552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2F64A795" w14:textId="77777777" w:rsidR="008243CA" w:rsidRDefault="00453F0C">
            <w:pPr>
              <w:pStyle w:val="TableParagraph"/>
              <w:widowControl/>
              <w:spacing w:before="88" w:line="242" w:lineRule="auto"/>
              <w:ind w:left="399" w:right="382" w:hanging="1"/>
              <w:jc w:val="center"/>
              <w:rPr>
                <w:sz w:val="26"/>
              </w:rPr>
            </w:pPr>
            <w:r>
              <w:rPr>
                <w:sz w:val="26"/>
              </w:rPr>
              <w:t>Мероприятие, его содержание,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место </w:t>
            </w:r>
            <w:r>
              <w:rPr>
                <w:spacing w:val="-2"/>
                <w:sz w:val="26"/>
              </w:rPr>
              <w:t>проведения</w:t>
            </w:r>
          </w:p>
        </w:tc>
        <w:tc>
          <w:tcPr>
            <w:tcW w:w="170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37DCE8E" w14:textId="77777777" w:rsidR="008243CA" w:rsidRDefault="00453F0C">
            <w:pPr>
              <w:pStyle w:val="TableParagraph"/>
              <w:widowControl/>
              <w:spacing w:before="193" w:line="242" w:lineRule="auto"/>
              <w:ind w:left="239" w:right="101" w:firstLine="36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Дата начала </w:t>
            </w:r>
            <w:r>
              <w:rPr>
                <w:spacing w:val="-2"/>
                <w:sz w:val="26"/>
              </w:rPr>
              <w:t>мероприятия</w:t>
            </w:r>
          </w:p>
        </w:tc>
        <w:tc>
          <w:tcPr>
            <w:tcW w:w="1750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C69E5BE" w14:textId="77777777" w:rsidR="008243CA" w:rsidRDefault="00453F0C">
            <w:pPr>
              <w:pStyle w:val="TableParagraph"/>
              <w:widowControl/>
              <w:spacing w:before="193" w:line="242" w:lineRule="auto"/>
              <w:ind w:left="239" w:right="101" w:hanging="117"/>
              <w:jc w:val="center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окончания </w:t>
            </w:r>
            <w:r>
              <w:rPr>
                <w:spacing w:val="-2"/>
                <w:sz w:val="26"/>
              </w:rPr>
              <w:t>мероприятия</w:t>
            </w:r>
          </w:p>
        </w:tc>
        <w:tc>
          <w:tcPr>
            <w:tcW w:w="1652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59F80CB" w14:textId="77777777" w:rsidR="008243CA" w:rsidRDefault="008243CA">
            <w:pPr>
              <w:pStyle w:val="TableParagraph"/>
              <w:widowControl/>
              <w:spacing w:before="90"/>
              <w:jc w:val="center"/>
              <w:rPr>
                <w:sz w:val="26"/>
              </w:rPr>
            </w:pPr>
          </w:p>
          <w:p w14:paraId="231CAC43" w14:textId="77777777" w:rsidR="008243CA" w:rsidRDefault="00453F0C">
            <w:pPr>
              <w:pStyle w:val="TableParagraph"/>
              <w:widowControl/>
              <w:spacing w:before="1"/>
              <w:ind w:left="164"/>
              <w:jc w:val="center"/>
              <w:rPr>
                <w:sz w:val="26"/>
              </w:rPr>
            </w:pPr>
            <w:r>
              <w:rPr>
                <w:sz w:val="26"/>
              </w:rPr>
              <w:t>Ожидаемые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результаты</w:t>
            </w:r>
          </w:p>
        </w:tc>
      </w:tr>
      <w:tr w:rsidR="008243CA" w14:paraId="7A583017" w14:textId="77777777">
        <w:trPr>
          <w:trHeight w:val="413"/>
        </w:trPr>
        <w:tc>
          <w:tcPr>
            <w:tcW w:w="418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653D9E9A" w14:textId="77777777" w:rsidR="008243CA" w:rsidRDefault="00453F0C">
            <w:pPr>
              <w:pStyle w:val="TableParagraph"/>
              <w:widowControl/>
              <w:spacing w:before="88"/>
              <w:ind w:left="52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2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07FA6300" w14:textId="77777777" w:rsidR="008243CA" w:rsidRDefault="008243CA">
            <w:pPr>
              <w:pStyle w:val="TableParagraph"/>
              <w:widowControl/>
              <w:spacing w:before="88" w:line="242" w:lineRule="auto"/>
              <w:ind w:left="52"/>
              <w:rPr>
                <w:sz w:val="26"/>
              </w:rPr>
            </w:pPr>
          </w:p>
        </w:tc>
        <w:tc>
          <w:tcPr>
            <w:tcW w:w="2552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2BB49D71" w14:textId="77777777" w:rsidR="008243CA" w:rsidRDefault="008243CA">
            <w:pPr>
              <w:pStyle w:val="TableParagraph"/>
              <w:widowControl/>
              <w:spacing w:before="2" w:line="242" w:lineRule="auto"/>
              <w:ind w:left="52" w:right="550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4B08B27F" w14:textId="77777777" w:rsidR="008243CA" w:rsidRDefault="008243CA">
            <w:pPr>
              <w:pStyle w:val="TableParagraph"/>
              <w:widowControl/>
              <w:spacing w:before="88"/>
              <w:ind w:left="13"/>
              <w:jc w:val="center"/>
              <w:rPr>
                <w:sz w:val="26"/>
              </w:rPr>
            </w:pPr>
          </w:p>
        </w:tc>
        <w:tc>
          <w:tcPr>
            <w:tcW w:w="1750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27B47FB0" w14:textId="77777777" w:rsidR="008243CA" w:rsidRDefault="008243CA">
            <w:pPr>
              <w:pStyle w:val="TableParagraph"/>
              <w:widowControl/>
              <w:spacing w:before="88"/>
              <w:ind w:left="13"/>
              <w:jc w:val="center"/>
              <w:rPr>
                <w:sz w:val="26"/>
              </w:rPr>
            </w:pPr>
          </w:p>
        </w:tc>
        <w:tc>
          <w:tcPr>
            <w:tcW w:w="1652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52935CB3" w14:textId="77777777" w:rsidR="008243CA" w:rsidRDefault="008243CA">
            <w:pPr>
              <w:pStyle w:val="TableParagraph"/>
              <w:widowControl/>
              <w:spacing w:before="3" w:line="242" w:lineRule="auto"/>
              <w:ind w:left="51" w:right="180"/>
              <w:rPr>
                <w:sz w:val="26"/>
              </w:rPr>
            </w:pPr>
          </w:p>
        </w:tc>
      </w:tr>
      <w:tr w:rsidR="008243CA" w14:paraId="631889AB" w14:textId="77777777">
        <w:trPr>
          <w:trHeight w:val="413"/>
        </w:trPr>
        <w:tc>
          <w:tcPr>
            <w:tcW w:w="418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2439E63B" w14:textId="77777777" w:rsidR="008243CA" w:rsidRDefault="00453F0C">
            <w:pPr>
              <w:pStyle w:val="TableParagraph"/>
              <w:widowControl/>
              <w:spacing w:before="88"/>
              <w:ind w:left="52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…</w:t>
            </w:r>
          </w:p>
        </w:tc>
        <w:tc>
          <w:tcPr>
            <w:tcW w:w="172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5C423348" w14:textId="77777777" w:rsidR="008243CA" w:rsidRDefault="008243CA">
            <w:pPr>
              <w:pStyle w:val="TableParagraph"/>
              <w:widowControl/>
              <w:spacing w:before="88" w:line="242" w:lineRule="auto"/>
              <w:ind w:left="52"/>
              <w:rPr>
                <w:sz w:val="26"/>
              </w:rPr>
            </w:pPr>
          </w:p>
        </w:tc>
        <w:tc>
          <w:tcPr>
            <w:tcW w:w="2552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72B646CA" w14:textId="77777777" w:rsidR="008243CA" w:rsidRDefault="008243CA">
            <w:pPr>
              <w:pStyle w:val="TableParagraph"/>
              <w:widowControl/>
              <w:spacing w:before="2" w:line="242" w:lineRule="auto"/>
              <w:ind w:left="52" w:right="550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55C6BA54" w14:textId="77777777" w:rsidR="008243CA" w:rsidRDefault="008243CA">
            <w:pPr>
              <w:pStyle w:val="TableParagraph"/>
              <w:widowControl/>
              <w:spacing w:before="88"/>
              <w:ind w:left="13"/>
              <w:jc w:val="center"/>
              <w:rPr>
                <w:sz w:val="26"/>
              </w:rPr>
            </w:pPr>
          </w:p>
        </w:tc>
        <w:tc>
          <w:tcPr>
            <w:tcW w:w="1750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43E7079A" w14:textId="77777777" w:rsidR="008243CA" w:rsidRDefault="008243CA">
            <w:pPr>
              <w:pStyle w:val="TableParagraph"/>
              <w:widowControl/>
              <w:spacing w:before="88"/>
              <w:ind w:left="13"/>
              <w:jc w:val="center"/>
              <w:rPr>
                <w:sz w:val="26"/>
              </w:rPr>
            </w:pPr>
          </w:p>
        </w:tc>
        <w:tc>
          <w:tcPr>
            <w:tcW w:w="1652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111B65AE" w14:textId="77777777" w:rsidR="008243CA" w:rsidRDefault="008243CA">
            <w:pPr>
              <w:pStyle w:val="TableParagraph"/>
              <w:widowControl/>
              <w:spacing w:before="3" w:line="242" w:lineRule="auto"/>
              <w:ind w:left="51" w:right="180"/>
              <w:rPr>
                <w:sz w:val="26"/>
              </w:rPr>
            </w:pPr>
          </w:p>
        </w:tc>
      </w:tr>
    </w:tbl>
    <w:p w14:paraId="3F664D92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52BABBD2" w14:textId="77777777" w:rsidR="008243CA" w:rsidRDefault="00453F0C">
      <w:pPr>
        <w:pStyle w:val="af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709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Бюджет</w:t>
      </w:r>
    </w:p>
    <w:p w14:paraId="60C442B3" w14:textId="77777777" w:rsidR="008243CA" w:rsidRDefault="00453F0C">
      <w:pPr>
        <w:widowControl w:val="0"/>
        <w:numPr>
          <w:ilvl w:val="0"/>
          <w:numId w:val="13"/>
        </w:numPr>
        <w:tabs>
          <w:tab w:val="left" w:pos="310"/>
        </w:tabs>
        <w:spacing w:before="120"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Оплата труда</w:t>
      </w:r>
    </w:p>
    <w:p w14:paraId="643FBDF1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статью «Оплата труда» включается:</w:t>
      </w:r>
    </w:p>
    <w:p w14:paraId="7C66BC7C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•</w:t>
      </w:r>
      <w:r>
        <w:rPr>
          <w:rFonts w:ascii="Times New Roman" w:hAnsi="Times New Roman"/>
          <w:sz w:val="26"/>
        </w:rPr>
        <w:tab/>
        <w:t>оплата труда всех категорий штатных сотрудников, принимающих участие в реализации проекта:</w:t>
      </w:r>
    </w:p>
    <w:p w14:paraId="0C59DD82" w14:textId="77777777" w:rsidR="008243CA" w:rsidRDefault="00453F0C">
      <w:pPr>
        <w:pStyle w:val="af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руководителя проекта (РП), </w:t>
      </w:r>
    </w:p>
    <w:p w14:paraId="6E936C76" w14:textId="77777777" w:rsidR="008243CA" w:rsidRDefault="00453F0C">
      <w:pPr>
        <w:pStyle w:val="af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основного персонала (ОП) – штатных сотрудников, непосредственно реализующих проект / привлеченных к непосредственной работе с благополучателями, </w:t>
      </w:r>
    </w:p>
    <w:p w14:paraId="28B4D977" w14:textId="77777777" w:rsidR="008243CA" w:rsidRDefault="00453F0C">
      <w:pPr>
        <w:pStyle w:val="af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вспомогательного персонала (ВП) - штатных сотрудников, осуществляющих вспомогательные функции в рамках реализации проекта (бухгалтер, юрист и т. п.);</w:t>
      </w:r>
    </w:p>
    <w:p w14:paraId="3D07619A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•</w:t>
      </w:r>
      <w:r>
        <w:rPr>
          <w:rFonts w:ascii="Times New Roman" w:hAnsi="Times New Roman"/>
          <w:sz w:val="26"/>
        </w:rPr>
        <w:tab/>
        <w:t>оплата (работ, услуг) физических лиц по договорам гражданско-правового характера (ГПХ), самозанятых или индивидуальных предпринимателей (ИП), а также услуги организаций, привлеченных для выполнения функций РП, ОП или ВП;</w:t>
      </w:r>
    </w:p>
    <w:p w14:paraId="5F3833B3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•</w:t>
      </w:r>
      <w:r>
        <w:rPr>
          <w:rFonts w:ascii="Times New Roman" w:hAnsi="Times New Roman"/>
          <w:sz w:val="26"/>
        </w:rPr>
        <w:tab/>
        <w:t>страховые взносы на оплату труда (работ услуг) вышеуказанного персонала проекта.</w:t>
      </w:r>
    </w:p>
    <w:p w14:paraId="0A24434E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Оплата труда (услуг) вспомогательного персонала (ВП) нормируется - устанавливается максимально допустимая величина.</w:t>
      </w:r>
    </w:p>
    <w:p w14:paraId="2C36C2AE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В данном конкурсе оплата труда (услуг) ВП + прочие административно-хозяйственные расходы (ПАХР) – в сумме не могут составлять более 10 % от общей запрашиваемой суммы.</w:t>
      </w:r>
    </w:p>
    <w:p w14:paraId="4BD761A8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</w:t>
      </w:r>
      <w:r>
        <w:rPr>
          <w:rFonts w:ascii="Times New Roman" w:hAnsi="Times New Roman"/>
          <w:sz w:val="26"/>
        </w:rPr>
        <w:tab/>
        <w:t xml:space="preserve"> Оплата труда штатных работников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2"/>
        <w:gridCol w:w="1559"/>
        <w:gridCol w:w="1701"/>
        <w:gridCol w:w="1512"/>
        <w:gridCol w:w="2409"/>
        <w:gridCol w:w="1324"/>
      </w:tblGrid>
      <w:tr w:rsidR="008243CA" w14:paraId="4866BDF0" w14:textId="77777777">
        <w:trPr>
          <w:trHeight w:val="775"/>
          <w:jc w:val="center"/>
        </w:trPr>
        <w:tc>
          <w:tcPr>
            <w:tcW w:w="1552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20CA38B5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Должность/</w:t>
            </w:r>
          </w:p>
          <w:p w14:paraId="08EE46F5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функция</w:t>
            </w:r>
          </w:p>
        </w:tc>
        <w:tc>
          <w:tcPr>
            <w:tcW w:w="155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824D841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Часовая ставка (чел/час по окладу), руб.</w:t>
            </w:r>
          </w:p>
        </w:tc>
        <w:tc>
          <w:tcPr>
            <w:tcW w:w="170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788918BE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Трудозатраты в рамках проекта, чел/час</w:t>
            </w:r>
          </w:p>
        </w:tc>
        <w:tc>
          <w:tcPr>
            <w:tcW w:w="1512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E8716C7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стоимость, руб.</w:t>
            </w:r>
          </w:p>
        </w:tc>
        <w:tc>
          <w:tcPr>
            <w:tcW w:w="240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5F819D8B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Софинансирование, руб.</w:t>
            </w:r>
          </w:p>
        </w:tc>
        <w:tc>
          <w:tcPr>
            <w:tcW w:w="1324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0A85C1C1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Запрашиваемая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сумма, руб.</w:t>
            </w:r>
          </w:p>
        </w:tc>
      </w:tr>
      <w:tr w:rsidR="008243CA" w14:paraId="73CFE4DA" w14:textId="77777777">
        <w:trPr>
          <w:trHeight w:val="288"/>
          <w:jc w:val="center"/>
        </w:trPr>
        <w:tc>
          <w:tcPr>
            <w:tcW w:w="4812" w:type="dxa"/>
            <w:gridSpan w:val="3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28917C34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 по подстатье:</w:t>
            </w:r>
          </w:p>
        </w:tc>
        <w:tc>
          <w:tcPr>
            <w:tcW w:w="1512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70568C76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40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3578633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324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0FC42BC5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pacing w:val="-1"/>
                <w:sz w:val="26"/>
              </w:rPr>
            </w:pPr>
          </w:p>
        </w:tc>
      </w:tr>
    </w:tbl>
    <w:p w14:paraId="098B798F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" w:hAnsi="Verdana"/>
          <w:sz w:val="26"/>
        </w:rPr>
      </w:pPr>
    </w:p>
    <w:p w14:paraId="46C307E4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</w:t>
      </w:r>
      <w:r>
        <w:rPr>
          <w:rFonts w:ascii="Times New Roman" w:hAnsi="Times New Roman"/>
          <w:sz w:val="26"/>
        </w:rPr>
        <w:tab/>
        <w:t xml:space="preserve"> Услуги/работы привлеченных специалистов - физических лиц по договорам ГПХ (ДГПХ)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1"/>
        <w:gridCol w:w="1368"/>
        <w:gridCol w:w="1723"/>
        <w:gridCol w:w="1425"/>
        <w:gridCol w:w="2429"/>
        <w:gridCol w:w="1917"/>
      </w:tblGrid>
      <w:tr w:rsidR="008243CA" w14:paraId="257B9C44" w14:textId="77777777">
        <w:trPr>
          <w:trHeight w:val="1105"/>
          <w:jc w:val="center"/>
        </w:trPr>
        <w:tc>
          <w:tcPr>
            <w:tcW w:w="152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3127E5C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Функция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проекте или содержание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услуг (работ)</w:t>
            </w:r>
          </w:p>
        </w:tc>
        <w:tc>
          <w:tcPr>
            <w:tcW w:w="1368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78662AB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Часовая ставка (чел/час по договору), руб.</w:t>
            </w:r>
          </w:p>
        </w:tc>
        <w:tc>
          <w:tcPr>
            <w:tcW w:w="1723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9840C65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Трудозатраты в рамках проекта, чел/час</w:t>
            </w:r>
          </w:p>
        </w:tc>
        <w:tc>
          <w:tcPr>
            <w:tcW w:w="142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9DC431B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стоимость, руб.</w:t>
            </w: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2071011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Софинансирование, руб.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54002AED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Запрашиваемая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сумма, руб.</w:t>
            </w:r>
          </w:p>
        </w:tc>
      </w:tr>
      <w:tr w:rsidR="008243CA" w14:paraId="23D357A6" w14:textId="77777777">
        <w:trPr>
          <w:trHeight w:val="284"/>
          <w:jc w:val="center"/>
        </w:trPr>
        <w:tc>
          <w:tcPr>
            <w:tcW w:w="4612" w:type="dxa"/>
            <w:gridSpan w:val="3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226B233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 по подстатье:</w:t>
            </w:r>
          </w:p>
        </w:tc>
        <w:tc>
          <w:tcPr>
            <w:tcW w:w="142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718F0BAB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7BF815B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28D238A2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pacing w:val="-1"/>
                <w:sz w:val="26"/>
              </w:rPr>
            </w:pPr>
          </w:p>
        </w:tc>
      </w:tr>
    </w:tbl>
    <w:p w14:paraId="7DD64900" w14:textId="77777777" w:rsidR="008243CA" w:rsidRDefault="00453F0C">
      <w:pPr>
        <w:widowControl w:val="0"/>
        <w:tabs>
          <w:tab w:val="left" w:pos="423"/>
        </w:tabs>
        <w:spacing w:before="120"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 Страховые взносы</w:t>
      </w:r>
    </w:p>
    <w:p w14:paraId="20BB9311" w14:textId="77777777" w:rsidR="008243CA" w:rsidRDefault="00453F0C">
      <w:pPr>
        <w:tabs>
          <w:tab w:val="left" w:pos="423"/>
        </w:tabs>
        <w:spacing w:before="120" w:after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Страховые взносы за весь период реализации проекта раздельно по штатным сотрудникам и по ДГПХ. Вычисляются как произведение оплаты труда, указанной в п. 1.1. и 1.2., на соответствующий тариф страховых взносов. Из-за ограничений формы (не допускается использование процентов и дробных чисел) в столбце «Значение показателя» ставится значение «1».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1"/>
        <w:gridCol w:w="1151"/>
        <w:gridCol w:w="1459"/>
        <w:gridCol w:w="1369"/>
        <w:gridCol w:w="2429"/>
        <w:gridCol w:w="1917"/>
      </w:tblGrid>
      <w:tr w:rsidR="008243CA" w14:paraId="13C11D99" w14:textId="77777777">
        <w:trPr>
          <w:trHeight w:val="1246"/>
          <w:jc w:val="center"/>
        </w:trPr>
        <w:tc>
          <w:tcPr>
            <w:tcW w:w="212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5705B5A3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Вид страховых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взносов </w:t>
            </w:r>
            <w:r>
              <w:rPr>
                <w:rFonts w:ascii="Times New Roman" w:hAnsi="Times New Roman"/>
                <w:sz w:val="26"/>
              </w:rPr>
              <w:t>(штатные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работники/лица,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привлечённые по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ДГПХ)</w:t>
            </w:r>
          </w:p>
        </w:tc>
        <w:tc>
          <w:tcPr>
            <w:tcW w:w="115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1160C7A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Сумма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взносов, руб.</w:t>
            </w:r>
          </w:p>
        </w:tc>
        <w:tc>
          <w:tcPr>
            <w:tcW w:w="145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5E96B21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Значение показателя (единица)</w:t>
            </w:r>
          </w:p>
        </w:tc>
        <w:tc>
          <w:tcPr>
            <w:tcW w:w="136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6BF9D6B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сумма взносов на проект, руб.</w:t>
            </w: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7006CFD6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Софинансирование, руб.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506026E6" w14:textId="77777777" w:rsidR="008243CA" w:rsidRDefault="00453F0C">
            <w:pPr>
              <w:spacing w:before="120" w:after="120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Запрашиваемая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сумма, руб.</w:t>
            </w:r>
          </w:p>
        </w:tc>
      </w:tr>
      <w:tr w:rsidR="008243CA" w14:paraId="1A8D3585" w14:textId="77777777">
        <w:trPr>
          <w:trHeight w:val="360"/>
          <w:jc w:val="center"/>
        </w:trPr>
        <w:tc>
          <w:tcPr>
            <w:tcW w:w="4731" w:type="dxa"/>
            <w:gridSpan w:val="3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72993A77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 по подстатье:</w:t>
            </w:r>
          </w:p>
        </w:tc>
        <w:tc>
          <w:tcPr>
            <w:tcW w:w="136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7B64D6CC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66913BC8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6CAF423E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pacing w:val="-1"/>
                <w:sz w:val="26"/>
              </w:rPr>
            </w:pPr>
          </w:p>
        </w:tc>
      </w:tr>
    </w:tbl>
    <w:p w14:paraId="364ADF7F" w14:textId="77777777" w:rsidR="008243CA" w:rsidRDefault="00453F0C">
      <w:pPr>
        <w:widowControl w:val="0"/>
        <w:tabs>
          <w:tab w:val="left" w:pos="423"/>
        </w:tabs>
        <w:spacing w:before="120"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1.4 Услуги/работы привлеченных специалистов - физических лиц по договорам с самозанятыми и ИП / услуги организаций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2"/>
        <w:gridCol w:w="1401"/>
        <w:gridCol w:w="1723"/>
        <w:gridCol w:w="1444"/>
        <w:gridCol w:w="2429"/>
        <w:gridCol w:w="1917"/>
      </w:tblGrid>
      <w:tr w:rsidR="008243CA" w14:paraId="75CCDC03" w14:textId="77777777">
        <w:trPr>
          <w:trHeight w:val="1093"/>
          <w:jc w:val="center"/>
        </w:trPr>
        <w:tc>
          <w:tcPr>
            <w:tcW w:w="1532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716CDD1B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Функция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проекте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или содержание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услуг (работ)</w:t>
            </w:r>
          </w:p>
        </w:tc>
        <w:tc>
          <w:tcPr>
            <w:tcW w:w="140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786B4A11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Часовая ставка (чел/час по договору) / стоимость единицы, руб.</w:t>
            </w:r>
          </w:p>
        </w:tc>
        <w:tc>
          <w:tcPr>
            <w:tcW w:w="1723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70578B8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Трудозатраты в рамках проекта, чел/час / количество единиц</w:t>
            </w:r>
          </w:p>
        </w:tc>
        <w:tc>
          <w:tcPr>
            <w:tcW w:w="1444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7F4FF24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стоимость, руб.</w:t>
            </w: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CECC8D1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Софинансирование, руб.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2E0D15E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Запрашиваемая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сумма, руб.</w:t>
            </w:r>
          </w:p>
        </w:tc>
      </w:tr>
      <w:tr w:rsidR="008243CA" w14:paraId="255F41A6" w14:textId="77777777">
        <w:trPr>
          <w:trHeight w:val="360"/>
          <w:jc w:val="center"/>
        </w:trPr>
        <w:tc>
          <w:tcPr>
            <w:tcW w:w="4656" w:type="dxa"/>
            <w:gridSpan w:val="3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F214943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 по подстатье:</w:t>
            </w:r>
          </w:p>
        </w:tc>
        <w:tc>
          <w:tcPr>
            <w:tcW w:w="1444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B047804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057D01C8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27B9FE58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pacing w:val="-1"/>
                <w:sz w:val="26"/>
              </w:rPr>
            </w:pPr>
          </w:p>
        </w:tc>
      </w:tr>
      <w:tr w:rsidR="008243CA" w14:paraId="13A94C53" w14:textId="77777777">
        <w:trPr>
          <w:trHeight w:val="461"/>
          <w:jc w:val="center"/>
        </w:trPr>
        <w:tc>
          <w:tcPr>
            <w:tcW w:w="8529" w:type="dxa"/>
            <w:gridSpan w:val="5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52664250" w14:textId="77777777" w:rsidR="008243CA" w:rsidRDefault="00453F0C">
            <w:pPr>
              <w:spacing w:before="120" w:after="1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статье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№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1: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380ADC11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60E1BEF4" w14:textId="77777777" w:rsidR="008243CA" w:rsidRDefault="00453F0C">
      <w:pPr>
        <w:widowControl w:val="0"/>
        <w:numPr>
          <w:ilvl w:val="0"/>
          <w:numId w:val="13"/>
        </w:numPr>
        <w:tabs>
          <w:tab w:val="left" w:pos="310"/>
        </w:tabs>
        <w:spacing w:before="120"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Командировочные и транспортные расходы</w:t>
      </w:r>
    </w:p>
    <w:p w14:paraId="4F677653" w14:textId="77777777" w:rsidR="008243CA" w:rsidRDefault="00453F0C">
      <w:pPr>
        <w:pStyle w:val="af4"/>
        <w:widowControl w:val="0"/>
        <w:numPr>
          <w:ilvl w:val="1"/>
          <w:numId w:val="15"/>
        </w:numPr>
        <w:tabs>
          <w:tab w:val="left" w:pos="423"/>
        </w:tabs>
        <w:spacing w:before="120"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Стоимость проезда</w:t>
      </w:r>
    </w:p>
    <w:p w14:paraId="4F332644" w14:textId="77777777" w:rsidR="008243CA" w:rsidRDefault="00453F0C">
      <w:pPr>
        <w:tabs>
          <w:tab w:val="left" w:pos="423"/>
        </w:tabs>
        <w:spacing w:before="120" w:after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 всплывающем поле «комментарии» по каждой строке указывается назначение затрат - на проезд штатных сотрудников или привлеченных специалистов.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7"/>
        <w:gridCol w:w="1551"/>
        <w:gridCol w:w="1549"/>
        <w:gridCol w:w="1571"/>
        <w:gridCol w:w="2429"/>
        <w:gridCol w:w="1917"/>
      </w:tblGrid>
      <w:tr w:rsidR="008243CA" w14:paraId="7ADFD087" w14:textId="77777777">
        <w:trPr>
          <w:trHeight w:val="1257"/>
          <w:jc w:val="center"/>
        </w:trPr>
        <w:tc>
          <w:tcPr>
            <w:tcW w:w="159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784FEFEB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Цель поездки/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место </w:t>
            </w:r>
            <w:r>
              <w:rPr>
                <w:rFonts w:ascii="Times New Roman" w:hAnsi="Times New Roman"/>
                <w:sz w:val="26"/>
              </w:rPr>
              <w:t>назначения/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lastRenderedPageBreak/>
              <w:t>вид транспорта/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вид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расхода</w:t>
            </w:r>
          </w:p>
        </w:tc>
        <w:tc>
          <w:tcPr>
            <w:tcW w:w="155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2DB3F5D2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lastRenderedPageBreak/>
              <w:t xml:space="preserve">Стоимость 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    </w:t>
            </w:r>
            <w:r>
              <w:rPr>
                <w:rFonts w:ascii="Times New Roman" w:hAnsi="Times New Roman"/>
                <w:sz w:val="26"/>
              </w:rPr>
              <w:t>единицы, руб.</w:t>
            </w:r>
          </w:p>
        </w:tc>
        <w:tc>
          <w:tcPr>
            <w:tcW w:w="154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6BEA3F0C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единиц</w:t>
            </w:r>
          </w:p>
        </w:tc>
        <w:tc>
          <w:tcPr>
            <w:tcW w:w="157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4818D53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стоимость, руб.</w:t>
            </w: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917543C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Софинансирование, руб.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F076CA6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Запрашиваемая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сумма, руб.</w:t>
            </w:r>
          </w:p>
        </w:tc>
      </w:tr>
      <w:tr w:rsidR="008243CA" w14:paraId="3F5B381E" w14:textId="77777777">
        <w:trPr>
          <w:trHeight w:val="360"/>
          <w:jc w:val="center"/>
        </w:trPr>
        <w:tc>
          <w:tcPr>
            <w:tcW w:w="4697" w:type="dxa"/>
            <w:gridSpan w:val="3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774FBC08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Итого по подстатье:</w:t>
            </w:r>
          </w:p>
        </w:tc>
        <w:tc>
          <w:tcPr>
            <w:tcW w:w="157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8ED7BD0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59B3AC9C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5CF1B28A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pacing w:val="-1"/>
                <w:sz w:val="26"/>
              </w:rPr>
            </w:pPr>
          </w:p>
        </w:tc>
      </w:tr>
    </w:tbl>
    <w:p w14:paraId="2984A487" w14:textId="77777777" w:rsidR="008243CA" w:rsidRDefault="00453F0C">
      <w:pPr>
        <w:pStyle w:val="af4"/>
        <w:widowControl w:val="0"/>
        <w:numPr>
          <w:ilvl w:val="1"/>
          <w:numId w:val="15"/>
        </w:numPr>
        <w:tabs>
          <w:tab w:val="left" w:pos="423"/>
        </w:tabs>
        <w:spacing w:before="120"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Суточные для штатных работников</w:t>
      </w:r>
    </w:p>
    <w:p w14:paraId="60A88969" w14:textId="77777777" w:rsidR="008243CA" w:rsidRDefault="00453F0C">
      <w:pPr>
        <w:widowControl w:val="0"/>
        <w:tabs>
          <w:tab w:val="left" w:pos="423"/>
        </w:tabs>
        <w:spacing w:before="120"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Оплата суточных предусмотрена только для штатных работников. Сумма суточных указывается в соответствии с локальным нормативным актом вашей организации.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1517"/>
        <w:gridCol w:w="1579"/>
        <w:gridCol w:w="1529"/>
        <w:gridCol w:w="2413"/>
        <w:gridCol w:w="1917"/>
      </w:tblGrid>
      <w:tr w:rsidR="008243CA" w14:paraId="512C123E" w14:textId="77777777">
        <w:trPr>
          <w:trHeight w:val="810"/>
          <w:jc w:val="center"/>
        </w:trPr>
        <w:tc>
          <w:tcPr>
            <w:tcW w:w="1554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CAC6E17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Цель поездки/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место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назначения</w:t>
            </w:r>
          </w:p>
        </w:tc>
        <w:tc>
          <w:tcPr>
            <w:tcW w:w="15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E08463E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 xml:space="preserve">Стоимость </w:t>
            </w:r>
            <w:r>
              <w:rPr>
                <w:rFonts w:ascii="Times New Roman" w:hAnsi="Times New Roman"/>
                <w:sz w:val="26"/>
              </w:rPr>
              <w:t>единицы, руб.</w:t>
            </w:r>
          </w:p>
        </w:tc>
        <w:tc>
          <w:tcPr>
            <w:tcW w:w="157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5E7B82DA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суток</w:t>
            </w:r>
          </w:p>
        </w:tc>
        <w:tc>
          <w:tcPr>
            <w:tcW w:w="15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357C63A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стоимость, руб.</w:t>
            </w:r>
          </w:p>
        </w:tc>
        <w:tc>
          <w:tcPr>
            <w:tcW w:w="2413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95C8187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Софинансирование</w:t>
            </w:r>
            <w:r>
              <w:rPr>
                <w:rFonts w:ascii="Times New Roman" w:hAnsi="Times New Roman"/>
                <w:sz w:val="26"/>
              </w:rPr>
              <w:t>, руб.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0CE1E573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Запрашиваемая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сумма, руб.</w:t>
            </w:r>
          </w:p>
        </w:tc>
      </w:tr>
      <w:tr w:rsidR="008243CA" w14:paraId="75638D8B" w14:textId="77777777">
        <w:trPr>
          <w:trHeight w:val="360"/>
          <w:jc w:val="center"/>
        </w:trPr>
        <w:tc>
          <w:tcPr>
            <w:tcW w:w="4650" w:type="dxa"/>
            <w:gridSpan w:val="3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22C4A779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 по подстатье:</w:t>
            </w:r>
          </w:p>
        </w:tc>
        <w:tc>
          <w:tcPr>
            <w:tcW w:w="15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6D59835A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413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E110EF4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0F7778D7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pacing w:val="-1"/>
                <w:sz w:val="26"/>
              </w:rPr>
            </w:pPr>
          </w:p>
        </w:tc>
      </w:tr>
    </w:tbl>
    <w:p w14:paraId="073A0B9B" w14:textId="77777777" w:rsidR="008243CA" w:rsidRDefault="00453F0C">
      <w:pPr>
        <w:pStyle w:val="af4"/>
        <w:widowControl w:val="0"/>
        <w:numPr>
          <w:ilvl w:val="1"/>
          <w:numId w:val="15"/>
        </w:numPr>
        <w:tabs>
          <w:tab w:val="left" w:pos="423"/>
        </w:tabs>
        <w:spacing w:before="120"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Стоимость проживания</w:t>
      </w:r>
    </w:p>
    <w:p w14:paraId="58DBE165" w14:textId="77777777" w:rsidR="008243CA" w:rsidRDefault="00453F0C">
      <w:pPr>
        <w:tabs>
          <w:tab w:val="left" w:pos="423"/>
        </w:tabs>
        <w:spacing w:before="120" w:after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Рекомендовано проживание в номерах категории «стандарт». Во всплывающем поле «комментарии» по каждой строке указывается назначение затрат - на проживание штатных сотрудников или привлеченных специалистов.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82"/>
        <w:gridCol w:w="1632"/>
        <w:gridCol w:w="1555"/>
        <w:gridCol w:w="1448"/>
        <w:gridCol w:w="2412"/>
        <w:gridCol w:w="1917"/>
      </w:tblGrid>
      <w:tr w:rsidR="008243CA" w14:paraId="063DF496" w14:textId="77777777">
        <w:trPr>
          <w:trHeight w:val="1017"/>
          <w:jc w:val="center"/>
        </w:trPr>
        <w:tc>
          <w:tcPr>
            <w:tcW w:w="1482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0662C05A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Цель поездки/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место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назначения</w:t>
            </w:r>
          </w:p>
        </w:tc>
        <w:tc>
          <w:tcPr>
            <w:tcW w:w="1632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579FC50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Стоимость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суток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проживания, руб.</w:t>
            </w:r>
          </w:p>
        </w:tc>
        <w:tc>
          <w:tcPr>
            <w:tcW w:w="155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03D144B6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дней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пребывания</w:t>
            </w:r>
          </w:p>
        </w:tc>
        <w:tc>
          <w:tcPr>
            <w:tcW w:w="1448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0E459DB6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стоимость, руб.</w:t>
            </w:r>
          </w:p>
        </w:tc>
        <w:tc>
          <w:tcPr>
            <w:tcW w:w="2412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FC00D4F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Софинансирование,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руб.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25CB6066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Запрашиваемая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сумма, руб.</w:t>
            </w:r>
          </w:p>
        </w:tc>
      </w:tr>
      <w:tr w:rsidR="008243CA" w14:paraId="473EE3E1" w14:textId="77777777">
        <w:trPr>
          <w:trHeight w:val="360"/>
          <w:jc w:val="center"/>
        </w:trPr>
        <w:tc>
          <w:tcPr>
            <w:tcW w:w="4669" w:type="dxa"/>
            <w:gridSpan w:val="3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1DCD591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 по подстатье:</w:t>
            </w:r>
          </w:p>
        </w:tc>
        <w:tc>
          <w:tcPr>
            <w:tcW w:w="1448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5FF9E28E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412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0755B59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013E1F2E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pacing w:val="-1"/>
                <w:sz w:val="26"/>
              </w:rPr>
            </w:pPr>
          </w:p>
        </w:tc>
      </w:tr>
    </w:tbl>
    <w:p w14:paraId="52B9031C" w14:textId="77777777" w:rsidR="008243CA" w:rsidRDefault="00453F0C">
      <w:pPr>
        <w:pStyle w:val="af4"/>
        <w:widowControl w:val="0"/>
        <w:numPr>
          <w:ilvl w:val="1"/>
          <w:numId w:val="15"/>
        </w:numPr>
        <w:tabs>
          <w:tab w:val="left" w:pos="423"/>
        </w:tabs>
        <w:spacing w:before="120"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Иные виды транспортных расходов</w:t>
      </w:r>
    </w:p>
    <w:p w14:paraId="1EB91C58" w14:textId="77777777" w:rsidR="008243CA" w:rsidRDefault="00453F0C">
      <w:pPr>
        <w:tabs>
          <w:tab w:val="left" w:pos="423"/>
        </w:tabs>
        <w:spacing w:before="120" w:after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Оплата бензина (в т.ч. при использовании личного транспорта), аренда транспорта и т. п.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478"/>
        <w:gridCol w:w="1553"/>
        <w:gridCol w:w="1493"/>
        <w:gridCol w:w="2429"/>
        <w:gridCol w:w="1917"/>
      </w:tblGrid>
      <w:tr w:rsidR="008243CA" w14:paraId="568D9597" w14:textId="77777777">
        <w:trPr>
          <w:trHeight w:val="1319"/>
          <w:jc w:val="center"/>
        </w:trPr>
        <w:tc>
          <w:tcPr>
            <w:tcW w:w="1576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E812746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Цель поездки/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место </w:t>
            </w:r>
            <w:r>
              <w:rPr>
                <w:rFonts w:ascii="Times New Roman" w:hAnsi="Times New Roman"/>
                <w:sz w:val="26"/>
              </w:rPr>
              <w:t>назначения/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вид транспорта/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вид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расхода</w:t>
            </w:r>
          </w:p>
        </w:tc>
        <w:tc>
          <w:tcPr>
            <w:tcW w:w="1478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7BCC70F5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 xml:space="preserve">Стоимость 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единицы, руб.</w:t>
            </w:r>
          </w:p>
        </w:tc>
        <w:tc>
          <w:tcPr>
            <w:tcW w:w="1553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6D16609C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единиц</w:t>
            </w:r>
          </w:p>
        </w:tc>
        <w:tc>
          <w:tcPr>
            <w:tcW w:w="1493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0E853962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стоимость, руб.</w:t>
            </w: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27F7300E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Софинансирование, руб.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50FB5F8D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Запрашиваемая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сумма, руб.</w:t>
            </w:r>
          </w:p>
        </w:tc>
      </w:tr>
      <w:tr w:rsidR="008243CA" w14:paraId="733B7A70" w14:textId="77777777">
        <w:trPr>
          <w:trHeight w:val="360"/>
          <w:jc w:val="center"/>
        </w:trPr>
        <w:tc>
          <w:tcPr>
            <w:tcW w:w="4607" w:type="dxa"/>
            <w:gridSpan w:val="3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0B094E1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 по подстатье:</w:t>
            </w:r>
          </w:p>
        </w:tc>
        <w:tc>
          <w:tcPr>
            <w:tcW w:w="1493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614C391A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4379195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22D8D3A1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pacing w:val="-1"/>
                <w:sz w:val="26"/>
              </w:rPr>
            </w:pPr>
          </w:p>
        </w:tc>
      </w:tr>
      <w:tr w:rsidR="008243CA" w14:paraId="64E948E0" w14:textId="77777777">
        <w:trPr>
          <w:trHeight w:val="338"/>
          <w:jc w:val="center"/>
        </w:trPr>
        <w:tc>
          <w:tcPr>
            <w:tcW w:w="8529" w:type="dxa"/>
            <w:gridSpan w:val="5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4BD5084F" w14:textId="77777777" w:rsidR="008243CA" w:rsidRDefault="00453F0C">
            <w:pPr>
              <w:spacing w:before="120" w:after="12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статье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№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2: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46AC8EA6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649D99A8" w14:textId="77777777" w:rsidR="008243CA" w:rsidRDefault="00453F0C">
      <w:pPr>
        <w:widowControl w:val="0"/>
        <w:numPr>
          <w:ilvl w:val="0"/>
          <w:numId w:val="13"/>
        </w:numPr>
        <w:tabs>
          <w:tab w:val="left" w:pos="310"/>
        </w:tabs>
        <w:spacing w:before="120"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Оборудование/материалы</w:t>
      </w:r>
    </w:p>
    <w:p w14:paraId="0D1CAB89" w14:textId="77777777" w:rsidR="008243CA" w:rsidRDefault="00453F0C">
      <w:pPr>
        <w:tabs>
          <w:tab w:val="left" w:pos="423"/>
        </w:tabs>
        <w:spacing w:before="120" w:after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Указывается все приобретаемое для проекта оборудование и материалы (ТМЦ). В случае, если при покупке ТМЦ присутствуют дополнительные расходы (доставка, сборка и пр.), сопутствующие услуги могут быть включены в данную статью с расшифровкой в комментариях. Дорогостоящее оборудование, оборудование длительного использования или обустройство/преобразование имеющегося пространства, создание комфортных условий работы с детьми в рамках проекта </w:t>
      </w:r>
      <w:r>
        <w:rPr>
          <w:rFonts w:ascii="Times New Roman" w:hAnsi="Times New Roman"/>
          <w:sz w:val="26"/>
        </w:rPr>
        <w:lastRenderedPageBreak/>
        <w:t xml:space="preserve">требуют дополнительного обоснования в комментариях к статье бюджета и в тексте заявки (почему приобретение, а не аренда; почему невозможно обойтись без этого; как это повлияет на работу с детьми, на их обучение и развитие и т.д.). </w:t>
      </w:r>
    </w:p>
    <w:p w14:paraId="1FED50A8" w14:textId="77777777" w:rsidR="008243CA" w:rsidRDefault="00453F0C">
      <w:pPr>
        <w:tabs>
          <w:tab w:val="left" w:pos="423"/>
        </w:tabs>
        <w:spacing w:before="120" w:after="12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Статья нормируется - в данном конкурсе рекомендуемый размер запрашиваемой суммы на ТМЦ – не более 60% от общей запрашиваемой суммы.</w:t>
      </w:r>
    </w:p>
    <w:p w14:paraId="6E3C051C" w14:textId="77777777" w:rsidR="008243CA" w:rsidRDefault="00453F0C">
      <w:pPr>
        <w:tabs>
          <w:tab w:val="left" w:pos="423"/>
        </w:tabs>
        <w:spacing w:before="120" w:after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запрашиваемая сумма превышает 60%, необходимо дополнительное обоснование, явно показывающее важность приобретения ТМЦ и невозможность реализации проекта без этих расходов, а также перспективы использования ТМЦ на протяжении последующих трех лет.</w:t>
      </w:r>
    </w:p>
    <w:p w14:paraId="0F9CF956" w14:textId="77777777" w:rsidR="008243CA" w:rsidRDefault="00453F0C">
      <w:pPr>
        <w:tabs>
          <w:tab w:val="left" w:pos="423"/>
        </w:tabs>
        <w:spacing w:before="120" w:after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Фонд вправе затребовать коммерческие предложения и/или подтверждение рыночной стоимости. </w:t>
      </w:r>
    </w:p>
    <w:p w14:paraId="14161CF4" w14:textId="77777777" w:rsidR="008243CA" w:rsidRDefault="00453F0C">
      <w:pPr>
        <w:tabs>
          <w:tab w:val="left" w:pos="423"/>
        </w:tabs>
        <w:spacing w:before="120" w:after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статье возможно уменьшение запрашиваемой суммы/исключение расходов по решению Фонда, если Фонд посчитает обоснование недостаточным.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1405"/>
        <w:gridCol w:w="1505"/>
        <w:gridCol w:w="1425"/>
        <w:gridCol w:w="2429"/>
        <w:gridCol w:w="1917"/>
      </w:tblGrid>
      <w:tr w:rsidR="008243CA" w14:paraId="117247D1" w14:textId="77777777">
        <w:trPr>
          <w:trHeight w:val="600"/>
          <w:jc w:val="center"/>
        </w:trPr>
        <w:tc>
          <w:tcPr>
            <w:tcW w:w="1824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2F6185C6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Наименование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расходов</w:t>
            </w:r>
          </w:p>
        </w:tc>
        <w:tc>
          <w:tcPr>
            <w:tcW w:w="140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B55BB32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 xml:space="preserve">Стоимость 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единицы, руб.</w:t>
            </w:r>
          </w:p>
        </w:tc>
        <w:tc>
          <w:tcPr>
            <w:tcW w:w="150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2FB44D5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единиц</w:t>
            </w:r>
          </w:p>
        </w:tc>
        <w:tc>
          <w:tcPr>
            <w:tcW w:w="142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6C8C66C8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стоимость, руб.</w:t>
            </w: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61500AD4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Софинансирование, руб.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56BC50BD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Запрашиваемая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сумма, руб.</w:t>
            </w:r>
          </w:p>
        </w:tc>
      </w:tr>
      <w:tr w:rsidR="008243CA" w14:paraId="3C2FB8B8" w14:textId="77777777">
        <w:trPr>
          <w:trHeight w:val="216"/>
          <w:jc w:val="center"/>
        </w:trPr>
        <w:tc>
          <w:tcPr>
            <w:tcW w:w="8588" w:type="dxa"/>
            <w:gridSpan w:val="5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6839D8A4" w14:textId="77777777" w:rsidR="008243CA" w:rsidRDefault="00453F0C">
            <w:pPr>
              <w:spacing w:before="120" w:after="12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 по статье № 3: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0E3902DE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0DCE3BEB" w14:textId="77777777" w:rsidR="008243CA" w:rsidRDefault="00453F0C">
      <w:pPr>
        <w:widowControl w:val="0"/>
        <w:numPr>
          <w:ilvl w:val="0"/>
          <w:numId w:val="13"/>
        </w:numPr>
        <w:tabs>
          <w:tab w:val="left" w:pos="310"/>
        </w:tabs>
        <w:spacing w:before="120"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Информационная поддержка проекта</w:t>
      </w:r>
    </w:p>
    <w:p w14:paraId="3BDD6E61" w14:textId="77777777" w:rsidR="008243CA" w:rsidRDefault="00453F0C">
      <w:pPr>
        <w:tabs>
          <w:tab w:val="left" w:pos="423"/>
        </w:tabs>
        <w:spacing w:before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Следует подробно пояснить назначение данной статьи расходов в контексте решения конкретных задач проекта и привести обоснование.</w:t>
      </w:r>
    </w:p>
    <w:p w14:paraId="38E04812" w14:textId="77777777" w:rsidR="008243CA" w:rsidRDefault="00453F0C">
      <w:pPr>
        <w:tabs>
          <w:tab w:val="left" w:pos="423"/>
        </w:tabs>
        <w:spacing w:after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статью включаются услуги сторонних организаций: все виды информационной поддержки (поддержка сайтов, продвижение в социальных сетях, сервисы для рассылок, подготовка пост - и пресс-релизов и т. п.).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1405"/>
        <w:gridCol w:w="1505"/>
        <w:gridCol w:w="1425"/>
        <w:gridCol w:w="2429"/>
        <w:gridCol w:w="1917"/>
      </w:tblGrid>
      <w:tr w:rsidR="008243CA" w14:paraId="6EF1325F" w14:textId="77777777">
        <w:trPr>
          <w:trHeight w:val="600"/>
          <w:jc w:val="center"/>
        </w:trPr>
        <w:tc>
          <w:tcPr>
            <w:tcW w:w="1824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0F39A34C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Наименование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расходов</w:t>
            </w:r>
          </w:p>
        </w:tc>
        <w:tc>
          <w:tcPr>
            <w:tcW w:w="140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13A5C66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 xml:space="preserve">Стоимость 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единицы, руб.</w:t>
            </w:r>
          </w:p>
        </w:tc>
        <w:tc>
          <w:tcPr>
            <w:tcW w:w="150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26F77AF7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единиц</w:t>
            </w:r>
          </w:p>
        </w:tc>
        <w:tc>
          <w:tcPr>
            <w:tcW w:w="142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7F351B43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стоимость, руб.</w:t>
            </w: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363C8C2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Софинансирование, руб.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6199837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Запрашиваемая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сумма, руб.</w:t>
            </w:r>
          </w:p>
        </w:tc>
      </w:tr>
      <w:tr w:rsidR="008243CA" w14:paraId="19319AE3" w14:textId="77777777">
        <w:trPr>
          <w:trHeight w:val="216"/>
          <w:jc w:val="center"/>
        </w:trPr>
        <w:tc>
          <w:tcPr>
            <w:tcW w:w="8588" w:type="dxa"/>
            <w:gridSpan w:val="5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36264FC9" w14:textId="77777777" w:rsidR="008243CA" w:rsidRDefault="00453F0C">
            <w:pPr>
              <w:spacing w:before="120" w:after="12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 по статье № 4: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76CFB3CC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1F0FC105" w14:textId="77777777" w:rsidR="008243CA" w:rsidRDefault="00453F0C">
      <w:pPr>
        <w:widowControl w:val="0"/>
        <w:numPr>
          <w:ilvl w:val="0"/>
          <w:numId w:val="13"/>
        </w:numPr>
        <w:tabs>
          <w:tab w:val="left" w:pos="310"/>
        </w:tabs>
        <w:spacing w:before="120"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Издательские расходы</w:t>
      </w:r>
    </w:p>
    <w:p w14:paraId="3A6CAC64" w14:textId="77777777" w:rsidR="008243CA" w:rsidRDefault="00453F0C">
      <w:pPr>
        <w:tabs>
          <w:tab w:val="left" w:pos="423"/>
        </w:tabs>
        <w:spacing w:before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Следует подробно пояснить назначение данной статьи расходов в контексте решения конкретных задач проекта и привести обоснование.  </w:t>
      </w:r>
    </w:p>
    <w:p w14:paraId="761E4E6B" w14:textId="77777777" w:rsidR="008243CA" w:rsidRDefault="00453F0C">
      <w:pPr>
        <w:tabs>
          <w:tab w:val="left" w:pos="423"/>
        </w:tabs>
        <w:spacing w:before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статью включаются услуги сторонних организаций: все виды полиграфических услуг по изданию любых печатных материалов, а также услуги по подготовке электронных изданий. В поле «комментарий» указать назначение продукта (для мероприятий, для информирования и привлечения благополучателей и т. п.).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1405"/>
        <w:gridCol w:w="1505"/>
        <w:gridCol w:w="1425"/>
        <w:gridCol w:w="2429"/>
        <w:gridCol w:w="1917"/>
      </w:tblGrid>
      <w:tr w:rsidR="008243CA" w14:paraId="237ED3AC" w14:textId="77777777">
        <w:trPr>
          <w:trHeight w:val="600"/>
          <w:jc w:val="center"/>
        </w:trPr>
        <w:tc>
          <w:tcPr>
            <w:tcW w:w="1824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03B353C3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Наименование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расходов</w:t>
            </w:r>
          </w:p>
        </w:tc>
        <w:tc>
          <w:tcPr>
            <w:tcW w:w="140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1A1211B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 xml:space="preserve">Стоимость 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единицы, </w:t>
            </w:r>
            <w:r>
              <w:rPr>
                <w:rFonts w:ascii="Times New Roman" w:hAnsi="Times New Roman"/>
                <w:sz w:val="26"/>
              </w:rPr>
              <w:lastRenderedPageBreak/>
              <w:t>руб.</w:t>
            </w:r>
          </w:p>
        </w:tc>
        <w:tc>
          <w:tcPr>
            <w:tcW w:w="150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6D7FC44D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Количество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единиц</w:t>
            </w:r>
          </w:p>
        </w:tc>
        <w:tc>
          <w:tcPr>
            <w:tcW w:w="142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599AA05A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стоимость, руб.</w:t>
            </w: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C068992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Софинансирование, руб.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1D85698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Запрашиваемая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сумма, руб.</w:t>
            </w:r>
          </w:p>
        </w:tc>
      </w:tr>
      <w:tr w:rsidR="008243CA" w14:paraId="1C81E346" w14:textId="77777777">
        <w:trPr>
          <w:trHeight w:val="116"/>
          <w:jc w:val="center"/>
        </w:trPr>
        <w:tc>
          <w:tcPr>
            <w:tcW w:w="10505" w:type="dxa"/>
            <w:gridSpan w:val="6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538B27C7" w14:textId="77777777" w:rsidR="008243CA" w:rsidRDefault="00453F0C">
            <w:pPr>
              <w:spacing w:before="120" w:after="120"/>
              <w:jc w:val="both"/>
              <w:rPr>
                <w:rFonts w:ascii="Times New Roman" w:hAnsi="Times New Roman"/>
                <w:spacing w:val="-1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Итого по статье № 5:</w:t>
            </w:r>
          </w:p>
        </w:tc>
      </w:tr>
    </w:tbl>
    <w:p w14:paraId="3DF8B013" w14:textId="77777777" w:rsidR="008243CA" w:rsidRDefault="00453F0C">
      <w:pPr>
        <w:widowControl w:val="0"/>
        <w:numPr>
          <w:ilvl w:val="0"/>
          <w:numId w:val="13"/>
        </w:numPr>
        <w:tabs>
          <w:tab w:val="left" w:pos="310"/>
        </w:tabs>
        <w:spacing w:before="120"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Расходы на обучение членов команды проекта</w:t>
      </w:r>
    </w:p>
    <w:p w14:paraId="088792DC" w14:textId="77777777" w:rsidR="008243CA" w:rsidRDefault="00453F0C">
      <w:pPr>
        <w:tabs>
          <w:tab w:val="left" w:pos="423"/>
        </w:tabs>
        <w:spacing w:before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статью включаются: расходы по проекту, связанные с обучением членов команды проекта (повышение квалификации, стажировки, улучшение профессиональных компетенций и т.п.) в сторонних организациях (в случае необходимости компенсации расходов на проезд до места обучения и проживание подобные расходы включаются в статью «Транспортные расходы»). </w:t>
      </w:r>
    </w:p>
    <w:p w14:paraId="5419C01D" w14:textId="77777777" w:rsidR="008243CA" w:rsidRDefault="00453F0C">
      <w:pPr>
        <w:tabs>
          <w:tab w:val="left" w:pos="423"/>
        </w:tabs>
        <w:spacing w:before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данную статью не могут быть включены расходы, если обучение проводится силами специалистов организации для другой целевой аудитории. Также в статью не могут быть включены расходы по организации процесса обучения (аренда помещений и оборудования, покупка канцелярии и продуктов питания и т. п.) </w:t>
      </w:r>
    </w:p>
    <w:p w14:paraId="7AEBE93B" w14:textId="77777777" w:rsidR="008243CA" w:rsidRDefault="00453F0C">
      <w:pPr>
        <w:tabs>
          <w:tab w:val="left" w:pos="423"/>
        </w:tabs>
        <w:spacing w:before="12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Статья нормируется - в данном конкурсе запрашиваемая сумма не может превышать 10% от общей запрашиваемой суммы.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1405"/>
        <w:gridCol w:w="1505"/>
        <w:gridCol w:w="1425"/>
        <w:gridCol w:w="2429"/>
        <w:gridCol w:w="1917"/>
      </w:tblGrid>
      <w:tr w:rsidR="008243CA" w14:paraId="099E46AA" w14:textId="77777777">
        <w:trPr>
          <w:trHeight w:val="600"/>
          <w:jc w:val="center"/>
        </w:trPr>
        <w:tc>
          <w:tcPr>
            <w:tcW w:w="1824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75F6E53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Наименование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расходов</w:t>
            </w:r>
          </w:p>
        </w:tc>
        <w:tc>
          <w:tcPr>
            <w:tcW w:w="140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3184397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 xml:space="preserve">Стоимость 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е</w:t>
            </w:r>
            <w:r>
              <w:rPr>
                <w:rFonts w:ascii="Times New Roman" w:hAnsi="Times New Roman"/>
                <w:sz w:val="26"/>
              </w:rPr>
              <w:t>диницы, руб.</w:t>
            </w:r>
          </w:p>
        </w:tc>
        <w:tc>
          <w:tcPr>
            <w:tcW w:w="150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4E5BEBD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</w:t>
            </w:r>
          </w:p>
        </w:tc>
        <w:tc>
          <w:tcPr>
            <w:tcW w:w="142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CD32C0E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стоимость, руб.</w:t>
            </w: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0C4DF54C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Софинансирование, руб.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25C820C7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Запрашиваемая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сумма, руб.</w:t>
            </w:r>
          </w:p>
        </w:tc>
      </w:tr>
      <w:tr w:rsidR="008243CA" w14:paraId="40C45450" w14:textId="77777777">
        <w:trPr>
          <w:trHeight w:val="220"/>
          <w:jc w:val="center"/>
        </w:trPr>
        <w:tc>
          <w:tcPr>
            <w:tcW w:w="4734" w:type="dxa"/>
            <w:gridSpan w:val="3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1809AF78" w14:textId="77777777" w:rsidR="008243CA" w:rsidRDefault="00453F0C">
            <w:pPr>
              <w:spacing w:before="120" w:after="12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 по статье № 6:</w:t>
            </w:r>
          </w:p>
        </w:tc>
        <w:tc>
          <w:tcPr>
            <w:tcW w:w="142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469D3B8D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19026977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0C94BA86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46E34C4A" w14:textId="77777777" w:rsidR="008243CA" w:rsidRDefault="00453F0C">
      <w:pPr>
        <w:widowControl w:val="0"/>
        <w:numPr>
          <w:ilvl w:val="0"/>
          <w:numId w:val="13"/>
        </w:numPr>
        <w:tabs>
          <w:tab w:val="left" w:pos="310"/>
        </w:tabs>
        <w:spacing w:before="120"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Прочие административно-хозяйственные расходы (ПАХР). </w:t>
      </w:r>
    </w:p>
    <w:p w14:paraId="18F29AD0" w14:textId="77777777" w:rsidR="008243CA" w:rsidRDefault="00453F0C">
      <w:pPr>
        <w:tabs>
          <w:tab w:val="left" w:pos="423"/>
        </w:tabs>
        <w:spacing w:before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статью включаются: расходы организации на банковские услуги, аренду помещения, коммунальные услуги, услуги связи, курьерские и почтовые расходы, канцелярские товары и т.д. </w:t>
      </w:r>
    </w:p>
    <w:p w14:paraId="2E29CE91" w14:textId="77777777" w:rsidR="008243CA" w:rsidRDefault="00453F0C">
      <w:pPr>
        <w:tabs>
          <w:tab w:val="left" w:pos="423"/>
        </w:tabs>
        <w:spacing w:before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Статья ПАХР нормируется - устанавливается максимально допустимая величина.</w:t>
      </w:r>
    </w:p>
    <w:p w14:paraId="14E66293" w14:textId="77777777" w:rsidR="008243CA" w:rsidRDefault="00453F0C">
      <w:pPr>
        <w:tabs>
          <w:tab w:val="left" w:pos="423"/>
        </w:tabs>
        <w:spacing w:before="12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В данном конкурсе оплата труда (услуг) вспомогательного персонала (ВП) + ПАХР – в сумме не могут составлять более 10 % от общей запрашиваемой суммы.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1405"/>
        <w:gridCol w:w="1505"/>
        <w:gridCol w:w="1425"/>
        <w:gridCol w:w="2429"/>
        <w:gridCol w:w="1917"/>
      </w:tblGrid>
      <w:tr w:rsidR="008243CA" w14:paraId="7D380C62" w14:textId="77777777">
        <w:trPr>
          <w:trHeight w:val="600"/>
          <w:jc w:val="center"/>
        </w:trPr>
        <w:tc>
          <w:tcPr>
            <w:tcW w:w="1824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65606955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Наименование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расходов</w:t>
            </w:r>
          </w:p>
        </w:tc>
        <w:tc>
          <w:tcPr>
            <w:tcW w:w="140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3EB5CA1B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Стоимость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е</w:t>
            </w:r>
            <w:r>
              <w:rPr>
                <w:rFonts w:ascii="Times New Roman" w:hAnsi="Times New Roman"/>
                <w:sz w:val="26"/>
              </w:rPr>
              <w:t>диницы, руб.</w:t>
            </w:r>
          </w:p>
        </w:tc>
        <w:tc>
          <w:tcPr>
            <w:tcW w:w="150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5F173AAF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</w:t>
            </w:r>
          </w:p>
        </w:tc>
        <w:tc>
          <w:tcPr>
            <w:tcW w:w="142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1933335A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стоимость, руб.</w:t>
            </w: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5C45CD20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Софинансирование, руб.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7CDB1EC3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Запрашиваемая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сумма, руб.</w:t>
            </w:r>
          </w:p>
        </w:tc>
      </w:tr>
      <w:tr w:rsidR="008243CA" w14:paraId="0AADB16E" w14:textId="77777777">
        <w:trPr>
          <w:trHeight w:val="203"/>
          <w:jc w:val="center"/>
        </w:trPr>
        <w:tc>
          <w:tcPr>
            <w:tcW w:w="4734" w:type="dxa"/>
            <w:gridSpan w:val="3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6A3FFB05" w14:textId="77777777" w:rsidR="008243CA" w:rsidRDefault="00453F0C">
            <w:pPr>
              <w:spacing w:before="120" w:after="12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 по статье № 7:</w:t>
            </w:r>
          </w:p>
        </w:tc>
        <w:tc>
          <w:tcPr>
            <w:tcW w:w="142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338DCC8E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61ED1FFA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60F0A318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447C770B" w14:textId="77777777" w:rsidR="008243CA" w:rsidRDefault="00453F0C">
      <w:pPr>
        <w:widowControl w:val="0"/>
        <w:numPr>
          <w:ilvl w:val="0"/>
          <w:numId w:val="13"/>
        </w:numPr>
        <w:tabs>
          <w:tab w:val="left" w:pos="310"/>
        </w:tabs>
        <w:spacing w:before="120"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Прочие расходы</w:t>
      </w:r>
    </w:p>
    <w:p w14:paraId="75EFAFAB" w14:textId="77777777" w:rsidR="008243CA" w:rsidRDefault="00453F0C">
      <w:pPr>
        <w:tabs>
          <w:tab w:val="left" w:pos="423"/>
        </w:tabs>
        <w:spacing w:before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при составлении бюджета заявки расходы, которые необходимы для реализации проекта, не могут быть включены в вышеуказанные статьи, они указываются здесь с подробными пояснениями и расчетами.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1405"/>
        <w:gridCol w:w="1505"/>
        <w:gridCol w:w="1425"/>
        <w:gridCol w:w="2429"/>
        <w:gridCol w:w="1917"/>
      </w:tblGrid>
      <w:tr w:rsidR="008243CA" w14:paraId="4A892853" w14:textId="77777777">
        <w:trPr>
          <w:trHeight w:val="600"/>
          <w:jc w:val="center"/>
        </w:trPr>
        <w:tc>
          <w:tcPr>
            <w:tcW w:w="1824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073328B0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Наименование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расходов</w:t>
            </w:r>
          </w:p>
        </w:tc>
        <w:tc>
          <w:tcPr>
            <w:tcW w:w="140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50AC9B43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 xml:space="preserve">Стоимость 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lastRenderedPageBreak/>
              <w:t>единицы, руб.</w:t>
            </w:r>
          </w:p>
        </w:tc>
        <w:tc>
          <w:tcPr>
            <w:tcW w:w="150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08CD4371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Количество</w:t>
            </w:r>
          </w:p>
        </w:tc>
        <w:tc>
          <w:tcPr>
            <w:tcW w:w="142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5A10152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стоимость, </w:t>
            </w:r>
            <w:r>
              <w:rPr>
                <w:rFonts w:ascii="Times New Roman" w:hAnsi="Times New Roman"/>
                <w:sz w:val="26"/>
              </w:rPr>
              <w:lastRenderedPageBreak/>
              <w:t>руб.</w:t>
            </w: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4CBC7444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Софинансирование, руб.</w:t>
            </w: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</w:tcPr>
          <w:p w14:paraId="74C5277F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Запрашиваемая</w:t>
            </w:r>
            <w:r>
              <w:rPr>
                <w:rFonts w:ascii="Times New Roman" w:hAnsi="Times New Roman"/>
                <w:spacing w:val="-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сумма, руб.</w:t>
            </w:r>
          </w:p>
        </w:tc>
      </w:tr>
      <w:tr w:rsidR="008243CA" w14:paraId="097DF54E" w14:textId="77777777">
        <w:trPr>
          <w:trHeight w:val="203"/>
          <w:jc w:val="center"/>
        </w:trPr>
        <w:tc>
          <w:tcPr>
            <w:tcW w:w="4734" w:type="dxa"/>
            <w:gridSpan w:val="3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0ADCD54B" w14:textId="77777777" w:rsidR="008243CA" w:rsidRDefault="00453F0C">
            <w:pPr>
              <w:spacing w:before="120" w:after="12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Итого по статье № 8:</w:t>
            </w:r>
          </w:p>
        </w:tc>
        <w:tc>
          <w:tcPr>
            <w:tcW w:w="1425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54EF4941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429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7ADA267D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917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</w:tcPr>
          <w:p w14:paraId="1E038E7C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40386509" w14:textId="77777777" w:rsidR="008243CA" w:rsidRDefault="008243CA">
      <w:pPr>
        <w:spacing w:before="120" w:after="120"/>
        <w:contextualSpacing/>
        <w:jc w:val="both"/>
        <w:rPr>
          <w:rFonts w:ascii="Times New Roman" w:hAnsi="Times New Roman"/>
          <w:b/>
          <w:sz w:val="26"/>
        </w:rPr>
      </w:pPr>
    </w:p>
    <w:p w14:paraId="4E88F0D9" w14:textId="77777777" w:rsidR="008243CA" w:rsidRDefault="00453F0C">
      <w:pPr>
        <w:tabs>
          <w:tab w:val="left" w:pos="423"/>
        </w:tabs>
        <w:spacing w:before="1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Строка итогов: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11"/>
        <w:gridCol w:w="2611"/>
        <w:gridCol w:w="2611"/>
        <w:gridCol w:w="2611"/>
      </w:tblGrid>
      <w:tr w:rsidR="008243CA" w14:paraId="42D28AEA" w14:textId="77777777">
        <w:trPr>
          <w:trHeight w:val="780"/>
          <w:jc w:val="center"/>
        </w:trPr>
        <w:tc>
          <w:tcPr>
            <w:tcW w:w="2611" w:type="dxa"/>
            <w:vMerge w:val="restart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  <w:vAlign w:val="center"/>
          </w:tcPr>
          <w:p w14:paraId="768C81DB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</w:t>
            </w:r>
          </w:p>
        </w:tc>
        <w:tc>
          <w:tcPr>
            <w:tcW w:w="261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  <w:vAlign w:val="center"/>
          </w:tcPr>
          <w:p w14:paraId="075EA446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Расходы на реализацию проекта, руб.</w:t>
            </w:r>
          </w:p>
        </w:tc>
        <w:tc>
          <w:tcPr>
            <w:tcW w:w="261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  <w:vAlign w:val="center"/>
          </w:tcPr>
          <w:p w14:paraId="54D0D2B1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Софинансирование, руб.</w:t>
            </w:r>
          </w:p>
        </w:tc>
        <w:tc>
          <w:tcPr>
            <w:tcW w:w="261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  <w:vAlign w:val="center"/>
          </w:tcPr>
          <w:p w14:paraId="6A2FB228" w14:textId="77777777" w:rsidR="008243CA" w:rsidRDefault="00453F0C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Размер запрашиваемой суммы, руб.</w:t>
            </w:r>
          </w:p>
        </w:tc>
      </w:tr>
      <w:tr w:rsidR="008243CA" w14:paraId="4B1DF61B" w14:textId="77777777">
        <w:trPr>
          <w:trHeight w:val="480"/>
          <w:jc w:val="center"/>
        </w:trPr>
        <w:tc>
          <w:tcPr>
            <w:tcW w:w="2611" w:type="dxa"/>
            <w:vMerge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shd w:val="clear" w:color="auto" w:fill="DADADA"/>
            <w:vAlign w:val="center"/>
          </w:tcPr>
          <w:p w14:paraId="2227F971" w14:textId="77777777" w:rsidR="008243CA" w:rsidRDefault="008243CA"/>
        </w:tc>
        <w:tc>
          <w:tcPr>
            <w:tcW w:w="261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vAlign w:val="center"/>
          </w:tcPr>
          <w:p w14:paraId="729933FF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61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vAlign w:val="center"/>
          </w:tcPr>
          <w:p w14:paraId="7A6CB691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611" w:type="dxa"/>
            <w:tcBorders>
              <w:top w:val="single" w:sz="6" w:space="0" w:color="9DA0AB"/>
              <w:left w:val="single" w:sz="6" w:space="0" w:color="9DA0AB"/>
              <w:bottom w:val="single" w:sz="6" w:space="0" w:color="9DA0AB"/>
              <w:right w:val="single" w:sz="6" w:space="0" w:color="9DA0AB"/>
            </w:tcBorders>
            <w:vAlign w:val="center"/>
          </w:tcPr>
          <w:p w14:paraId="37A4DF79" w14:textId="77777777" w:rsidR="008243CA" w:rsidRDefault="008243CA">
            <w:pPr>
              <w:spacing w:before="120" w:after="120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577738C8" w14:textId="77777777" w:rsidR="008243CA" w:rsidRDefault="008243CA">
      <w:pPr>
        <w:spacing w:before="120" w:after="120"/>
        <w:contextualSpacing/>
        <w:jc w:val="both"/>
        <w:rPr>
          <w:rFonts w:ascii="Times New Roman" w:hAnsi="Times New Roman"/>
          <w:b/>
          <w:sz w:val="26"/>
        </w:rPr>
      </w:pPr>
    </w:p>
    <w:p w14:paraId="13CA3BBB" w14:textId="77777777" w:rsidR="008243CA" w:rsidRDefault="00453F0C">
      <w:pPr>
        <w:tabs>
          <w:tab w:val="left" w:pos="423"/>
        </w:tabs>
        <w:spacing w:before="120" w:after="120"/>
        <w:ind w:left="-11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Права сторон по управлению расходами в процессе реализации проекта:</w:t>
      </w:r>
    </w:p>
    <w:p w14:paraId="50623E10" w14:textId="77777777" w:rsidR="008243CA" w:rsidRDefault="00453F0C">
      <w:pPr>
        <w:spacing w:before="120" w:after="12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Допускается перерасход по статье Бюджета за счет экономии по другим статьям бюджета в пределах 5 % от величины статьи без согласования с Благотворителем, но с обязательным уведомлением о вносимых изменениях.</w:t>
      </w:r>
    </w:p>
    <w:p w14:paraId="63F3D070" w14:textId="77777777" w:rsidR="008243CA" w:rsidRDefault="00453F0C">
      <w:pPr>
        <w:spacing w:before="120" w:after="12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В рамках одной статьи Бюджета перерасход подстатей (подпунктов статьи) за счет экономии других подстатей - допускается на усмотрение благополучателя, без согласования с Благотворителем, за исключением нормируемых расходов. </w:t>
      </w:r>
    </w:p>
    <w:p w14:paraId="1B9056B8" w14:textId="77777777" w:rsidR="008243CA" w:rsidRDefault="00453F0C">
      <w:pPr>
        <w:spacing w:before="120" w:after="12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Остальные случаи перерасхода допускаются ТОЛЬКО с предварительного письменного согласия Благотворителя.</w:t>
      </w:r>
    </w:p>
    <w:p w14:paraId="0B5B9841" w14:textId="77777777" w:rsidR="008243CA" w:rsidRDefault="008243CA">
      <w:pPr>
        <w:spacing w:after="120" w:line="240" w:lineRule="auto"/>
        <w:rPr>
          <w:rFonts w:ascii="Times New Roman" w:hAnsi="Times New Roman"/>
          <w:sz w:val="26"/>
        </w:rPr>
      </w:pPr>
    </w:p>
    <w:p w14:paraId="53ECAD0F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V.</w:t>
      </w:r>
      <w:r>
        <w:rPr>
          <w:rFonts w:ascii="Times New Roman" w:hAnsi="Times New Roman"/>
          <w:b/>
          <w:sz w:val="26"/>
        </w:rPr>
        <w:tab/>
        <w:t>Руководитель проекта</w:t>
      </w:r>
    </w:p>
    <w:p w14:paraId="39B8022C" w14:textId="77777777" w:rsidR="008243CA" w:rsidRDefault="00453F0C">
      <w:pPr>
        <w:pStyle w:val="af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ФИО руководителя проекта</w:t>
      </w:r>
    </w:p>
    <w:p w14:paraId="63383723" w14:textId="77777777" w:rsidR="008243CA" w:rsidRDefault="00453F0C">
      <w:pPr>
        <w:pStyle w:val="af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Должность руководителя проекта в организации-заявителе. </w:t>
      </w:r>
    </w:p>
    <w:p w14:paraId="7EA81BCB" w14:textId="77777777" w:rsidR="008243CA" w:rsidRDefault="00453F0C">
      <w:pPr>
        <w:pStyle w:val="af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рождения</w:t>
      </w:r>
    </w:p>
    <w:p w14:paraId="123F3209" w14:textId="77777777" w:rsidR="008243CA" w:rsidRDefault="00453F0C">
      <w:pPr>
        <w:pStyle w:val="af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Мобильный телефон</w:t>
      </w:r>
    </w:p>
    <w:p w14:paraId="1D6F3D57" w14:textId="77777777" w:rsidR="008243CA" w:rsidRDefault="00453F0C">
      <w:pPr>
        <w:pStyle w:val="af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Электронная почта</w:t>
      </w:r>
    </w:p>
    <w:p w14:paraId="4F9103AD" w14:textId="77777777" w:rsidR="008243CA" w:rsidRDefault="00453F0C">
      <w:pPr>
        <w:pStyle w:val="af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Образование</w:t>
      </w:r>
    </w:p>
    <w:p w14:paraId="0946F238" w14:textId="77777777" w:rsidR="008243CA" w:rsidRDefault="00453F0C">
      <w:pPr>
        <w:pStyle w:val="af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Образовательные организации и специальности</w:t>
      </w:r>
    </w:p>
    <w:p w14:paraId="01C7172E" w14:textId="77777777" w:rsidR="008243CA" w:rsidRDefault="00453F0C">
      <w:pPr>
        <w:pStyle w:val="af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Место работы в настоящее время </w:t>
      </w:r>
    </w:p>
    <w:p w14:paraId="4DD0E21A" w14:textId="77777777" w:rsidR="008243CA" w:rsidRDefault="00453F0C">
      <w:pPr>
        <w:pStyle w:val="af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Реализованные проекты/проведенные мероприятия и роль в них</w:t>
      </w:r>
    </w:p>
    <w:p w14:paraId="617EE799" w14:textId="77777777" w:rsidR="008243CA" w:rsidRDefault="00453F0C">
      <w:pPr>
        <w:pStyle w:val="af4"/>
        <w:numPr>
          <w:ilvl w:val="0"/>
          <w:numId w:val="16"/>
        </w:numPr>
        <w:ind w:left="0" w:hanging="1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Ваша роль в местном сообществе: статус, опыт, публикации. Являетесь ли вы участником каких-то объединений, добровольческих или инициативных групп?*</w:t>
      </w:r>
    </w:p>
    <w:p w14:paraId="5C87B57E" w14:textId="77777777" w:rsidR="008243CA" w:rsidRDefault="00453F0C">
      <w:pPr>
        <w:pStyle w:val="af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Опыт взаимодействия/работы с детьми и подростками</w:t>
      </w:r>
    </w:p>
    <w:p w14:paraId="5D4A859A" w14:textId="77777777" w:rsidR="008243CA" w:rsidRDefault="00453F0C">
      <w:pPr>
        <w:pStyle w:val="af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Личные достижения или качества, которые помогут в реализации проекта</w:t>
      </w:r>
    </w:p>
    <w:p w14:paraId="0EF45531" w14:textId="77777777" w:rsidR="008243CA" w:rsidRDefault="00453F0C">
      <w:pPr>
        <w:pStyle w:val="af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Ссылка на социальные сети</w:t>
      </w:r>
    </w:p>
    <w:p w14:paraId="4E74F006" w14:textId="77777777" w:rsidR="008243CA" w:rsidRDefault="00453F0C">
      <w:pPr>
        <w:pStyle w:val="af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Дополнительные сведения</w:t>
      </w:r>
    </w:p>
    <w:p w14:paraId="7728EAFF" w14:textId="77777777" w:rsidR="008243CA" w:rsidRDefault="00453F0C">
      <w:pPr>
        <w:pStyle w:val="af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Добавить фотографию</w:t>
      </w:r>
    </w:p>
    <w:p w14:paraId="77CC2A26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6E79FB33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VI Команда проекта</w:t>
      </w:r>
    </w:p>
    <w:p w14:paraId="58A6B60F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Член команды №1</w:t>
      </w:r>
    </w:p>
    <w:p w14:paraId="0EA331E6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</w:p>
    <w:p w14:paraId="25BDECDE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Должность или роль в заявленном проекте</w:t>
      </w:r>
    </w:p>
    <w:p w14:paraId="0234CFDA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ФИО члена команды</w:t>
      </w:r>
    </w:p>
    <w:p w14:paraId="3F169172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Образование</w:t>
      </w:r>
    </w:p>
    <w:p w14:paraId="5FD6A58B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Наличие ученой степени и (или) звания</w:t>
      </w:r>
    </w:p>
    <w:p w14:paraId="4899C240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Образовательные организации и специальности</w:t>
      </w:r>
    </w:p>
    <w:p w14:paraId="4DBDFBA6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желанию заявителя в этом поле можно указать информацию об образовании (не более 5 образовательных организаций).</w:t>
      </w:r>
    </w:p>
    <w:p w14:paraId="0C6BE673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Опыт работы</w:t>
      </w:r>
    </w:p>
    <w:p w14:paraId="227486C5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Следует указать не более 5 последних мест работы члена команды, связанных с тематикой проекта. Есть место для галочки – без опыта работы.  </w:t>
      </w:r>
    </w:p>
    <w:p w14:paraId="6B6307DC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Опыт реализации социально значимых проектов </w:t>
      </w:r>
    </w:p>
    <w:p w14:paraId="51316A06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Есть место для галочки – без опыта работы.  </w:t>
      </w:r>
    </w:p>
    <w:p w14:paraId="6FBD3F9E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Дополнительные сведения</w:t>
      </w:r>
    </w:p>
    <w:p w14:paraId="4A3E8FA0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Данное поле можно оставить пустым. </w:t>
      </w:r>
    </w:p>
    <w:p w14:paraId="5D18D772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Ссылки на профиль в социальных сетях</w:t>
      </w:r>
    </w:p>
    <w:p w14:paraId="1D0E26F4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42F91FC1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Член команды № 2</w:t>
      </w:r>
    </w:p>
    <w:p w14:paraId="6A440308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Член команды № 3 и </w:t>
      </w:r>
      <w:proofErr w:type="spellStart"/>
      <w:r>
        <w:rPr>
          <w:rFonts w:ascii="Times New Roman" w:hAnsi="Times New Roman"/>
          <w:sz w:val="26"/>
        </w:rPr>
        <w:t>тд</w:t>
      </w:r>
      <w:proofErr w:type="spellEnd"/>
      <w:r>
        <w:rPr>
          <w:rFonts w:ascii="Times New Roman" w:hAnsi="Times New Roman"/>
          <w:sz w:val="26"/>
        </w:rPr>
        <w:t>.</w:t>
      </w:r>
    </w:p>
    <w:p w14:paraId="4E353487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p w14:paraId="6A2D0B16" w14:textId="77777777" w:rsidR="008243CA" w:rsidRDefault="00453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VII Организация-заявитель</w:t>
      </w:r>
    </w:p>
    <w:p w14:paraId="5D0F4859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ОГРН</w:t>
      </w:r>
    </w:p>
    <w:p w14:paraId="2E5753C0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ИНН</w:t>
      </w:r>
    </w:p>
    <w:p w14:paraId="6734C949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КПП</w:t>
      </w:r>
    </w:p>
    <w:p w14:paraId="6F1ADBDE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регистрации организации</w:t>
      </w:r>
    </w:p>
    <w:p w14:paraId="7471D87E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Полное наименование организации</w:t>
      </w:r>
    </w:p>
    <w:p w14:paraId="4E8B5BEC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Сокращённое наименование организации</w:t>
      </w:r>
    </w:p>
    <w:p w14:paraId="53525A34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(место нахождения) организации (юридический адрес)</w:t>
      </w:r>
    </w:p>
    <w:p w14:paraId="195B6532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Фактическое место нахождения организации</w:t>
      </w:r>
    </w:p>
    <w:p w14:paraId="6245DCA5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для направления организации юридически значимых сообщений</w:t>
      </w:r>
    </w:p>
    <w:p w14:paraId="2D2E8999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Руководитель организации</w:t>
      </w:r>
    </w:p>
    <w:p w14:paraId="6D617C62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Файл устава организации</w:t>
      </w:r>
    </w:p>
    <w:p w14:paraId="4FEDB895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Документ, подтверждающий полномочия руководителя</w:t>
      </w:r>
    </w:p>
    <w:p w14:paraId="6DCF0511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Информация о наличии лиц, имеющих право подписи без доверенности</w:t>
      </w:r>
    </w:p>
    <w:p w14:paraId="3A024E51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Документ, подтверждающий полномочия лица, которое будет подписывать договор</w:t>
      </w:r>
    </w:p>
    <w:p w14:paraId="05835E0F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Отчёт в Министерство юстиции РФ за предшествующий отчётный период или ссылка на его версию, размещённую на Информационном портале Министерства юстиции РФ </w:t>
      </w:r>
    </w:p>
    <w:p w14:paraId="1BBC16C1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Информация о наличии коллегиального органа управления</w:t>
      </w:r>
    </w:p>
    <w:p w14:paraId="19C1B186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Главный бухгалтер</w:t>
      </w:r>
    </w:p>
    <w:p w14:paraId="36C41921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Контактный телефон организации</w:t>
      </w:r>
    </w:p>
    <w:p w14:paraId="1C04CA5A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электронной почты для направления организации юридически значимых сообщений</w:t>
      </w:r>
    </w:p>
    <w:p w14:paraId="7ED39D7B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Регион регистрации организации</w:t>
      </w:r>
    </w:p>
    <w:p w14:paraId="174D8021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Веб-сайт</w:t>
      </w:r>
    </w:p>
    <w:p w14:paraId="133942FD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Группы в соц. сетях  </w:t>
      </w:r>
    </w:p>
    <w:p w14:paraId="16CBA4F3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Учредители организации-заявителя</w:t>
      </w:r>
    </w:p>
    <w:p w14:paraId="1D83CB3B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Количество штатных работников </w:t>
      </w:r>
    </w:p>
    <w:p w14:paraId="64185ED0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Доходы (поступления) организации (в рублях) за предыдущий год</w:t>
      </w:r>
    </w:p>
    <w:p w14:paraId="15FA3D3D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Общая сумма расходов организации за предыдущий год</w:t>
      </w:r>
    </w:p>
    <w:p w14:paraId="3C0C0150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Обособленные структурные подразделения организации-заявителя. </w:t>
      </w:r>
    </w:p>
    <w:p w14:paraId="339B1DB9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Дополнительные документы об организации.  </w:t>
      </w:r>
    </w:p>
    <w:p w14:paraId="60D01CDE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Целевые группы, опыт работы с которыми имеет организация</w:t>
      </w:r>
    </w:p>
    <w:p w14:paraId="2AF0689C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Количество благополучателей за предыдущий год</w:t>
      </w:r>
    </w:p>
    <w:p w14:paraId="63E9FB17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Основные реализованные проекты и программы за последние 5 лет</w:t>
      </w:r>
    </w:p>
    <w:p w14:paraId="22529A11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Является Ваша организация грантополучателем конкурсов Фонда Тимченко?</w:t>
      </w:r>
    </w:p>
    <w:p w14:paraId="55ED498D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Имеющиеся в распоряжении организации материально-технические ресурсы</w:t>
      </w:r>
    </w:p>
    <w:p w14:paraId="0B2B9C17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Банковские реквизиты</w:t>
      </w:r>
    </w:p>
    <w:p w14:paraId="230FC71E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Согласия всех участников проекта на обработку персональных данных</w:t>
      </w:r>
    </w:p>
    <w:p w14:paraId="2F569C8C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Источник информации о конкурсе</w:t>
      </w:r>
    </w:p>
    <w:p w14:paraId="28C067C0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Укажите, использовались ли при составлении заявки технологии искусственного интеллекта (для структурирования, генерации информации и т.п.) и в каких пунктах</w:t>
      </w:r>
    </w:p>
    <w:p w14:paraId="7858EFC3" w14:textId="77777777" w:rsidR="008243CA" w:rsidRDefault="00453F0C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Другое</w:t>
      </w:r>
    </w:p>
    <w:p w14:paraId="06F302D4" w14:textId="77777777" w:rsidR="008243CA" w:rsidRDefault="008243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6"/>
        </w:rPr>
      </w:pPr>
    </w:p>
    <w:sectPr w:rsidR="008243CA">
      <w:pgSz w:w="11906" w:h="16838"/>
      <w:pgMar w:top="851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5C10D" w14:textId="77777777" w:rsidR="00A9523B" w:rsidRDefault="00A9523B">
      <w:pPr>
        <w:spacing w:after="0" w:line="240" w:lineRule="auto"/>
      </w:pPr>
      <w:r>
        <w:separator/>
      </w:r>
    </w:p>
  </w:endnote>
  <w:endnote w:type="continuationSeparator" w:id="0">
    <w:p w14:paraId="184DF76A" w14:textId="77777777" w:rsidR="00A9523B" w:rsidRDefault="00A9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DejaVu Sans Mono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A9E1F" w14:textId="77777777" w:rsidR="00A9523B" w:rsidRDefault="00A9523B">
      <w:pPr>
        <w:spacing w:after="0" w:line="240" w:lineRule="auto"/>
      </w:pPr>
      <w:r>
        <w:separator/>
      </w:r>
    </w:p>
  </w:footnote>
  <w:footnote w:type="continuationSeparator" w:id="0">
    <w:p w14:paraId="5E586AB4" w14:textId="77777777" w:rsidR="00A9523B" w:rsidRDefault="00A9523B">
      <w:pPr>
        <w:spacing w:after="0" w:line="240" w:lineRule="auto"/>
      </w:pPr>
      <w:r>
        <w:continuationSeparator/>
      </w:r>
    </w:p>
  </w:footnote>
  <w:footnote w:id="1">
    <w:p w14:paraId="4EA16435" w14:textId="77777777" w:rsidR="008243CA" w:rsidRDefault="00453F0C">
      <w:pPr>
        <w:pStyle w:val="Footnote"/>
        <w:widowControl/>
        <w:jc w:val="both"/>
      </w:pPr>
      <w:r>
        <w:rPr>
          <w:vertAlign w:val="superscript"/>
        </w:rPr>
        <w:footnoteRef/>
      </w:r>
      <w:r>
        <w:t xml:space="preserve"> Отчёт в Минюст России подтверждает соблюдение заявителем требования законодательства по предоставлению некоммерческими организациями отчётности, с учетом требований, содержащихся в.</w:t>
      </w:r>
    </w:p>
    <w:p w14:paraId="208E2E9B" w14:textId="77777777" w:rsidR="008243CA" w:rsidRDefault="00453F0C">
      <w:pPr>
        <w:pStyle w:val="Footnote"/>
        <w:widowControl/>
        <w:jc w:val="both"/>
      </w:pPr>
      <w:r>
        <w:t>В приказе Министерства юстиции Российской Федерации от 07.10.2010 № 252 (в ред. от 26.05.2020) «О порядке размещения в сети Интернет отчётов о деятельности и сообщений о продолжении деятельности некоммерческих организаций».</w:t>
      </w:r>
    </w:p>
  </w:footnote>
  <w:footnote w:id="2">
    <w:p w14:paraId="099EB2A0" w14:textId="77777777" w:rsidR="008243CA" w:rsidRDefault="00453F0C">
      <w:pPr>
        <w:pStyle w:val="Footnote"/>
      </w:pPr>
      <w:r>
        <w:rPr>
          <w:vertAlign w:val="superscript"/>
        </w:rPr>
        <w:footnoteRef/>
      </w:r>
      <w:r>
        <w:t xml:space="preserve"> В исключительных случаях сроки могут быть продлены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EFF"/>
    <w:multiLevelType w:val="multilevel"/>
    <w:tmpl w:val="1B82B94C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033F451C"/>
    <w:multiLevelType w:val="multilevel"/>
    <w:tmpl w:val="2B9ED74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>
    <w:nsid w:val="0B556F54"/>
    <w:multiLevelType w:val="multilevel"/>
    <w:tmpl w:val="7C6A8A76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131B2923"/>
    <w:multiLevelType w:val="multilevel"/>
    <w:tmpl w:val="AABC9EC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1080" w:hanging="720"/>
      </w:pPr>
    </w:lvl>
    <w:lvl w:ilvl="2">
      <w:start w:val="1"/>
      <w:numFmt w:val="decimal"/>
      <w:lvlText w:val="%1.%2.%3."/>
      <w:lvlJc w:val="left"/>
      <w:pPr>
        <w:widowControl/>
        <w:ind w:left="1440" w:hanging="1080"/>
      </w:pPr>
    </w:lvl>
    <w:lvl w:ilvl="3">
      <w:start w:val="1"/>
      <w:numFmt w:val="decimal"/>
      <w:lvlText w:val="%1.%2.%3.%4."/>
      <w:lvlJc w:val="left"/>
      <w:pPr>
        <w:widowControl/>
        <w:ind w:left="1440" w:hanging="1080"/>
      </w:pPr>
    </w:lvl>
    <w:lvl w:ilvl="4">
      <w:start w:val="1"/>
      <w:numFmt w:val="decimal"/>
      <w:lvlText w:val="%1.%2.%3.%4.%5."/>
      <w:lvlJc w:val="left"/>
      <w:pPr>
        <w:widowControl/>
        <w:ind w:left="1800" w:hanging="1440"/>
      </w:pPr>
    </w:lvl>
    <w:lvl w:ilvl="5">
      <w:start w:val="1"/>
      <w:numFmt w:val="decimal"/>
      <w:lvlText w:val="%1.%2.%3.%4.%5.%6."/>
      <w:lvlJc w:val="left"/>
      <w:pPr>
        <w:widowControl/>
        <w:ind w:left="2160" w:hanging="1800"/>
      </w:pPr>
    </w:lvl>
    <w:lvl w:ilvl="6">
      <w:start w:val="1"/>
      <w:numFmt w:val="decimal"/>
      <w:lvlText w:val="%1.%2.%3.%4.%5.%6.%7."/>
      <w:lvlJc w:val="left"/>
      <w:pPr>
        <w:widowControl/>
        <w:ind w:left="2520" w:hanging="2160"/>
      </w:pPr>
    </w:lvl>
    <w:lvl w:ilvl="7">
      <w:start w:val="1"/>
      <w:numFmt w:val="decimal"/>
      <w:lvlText w:val="%1.%2.%3.%4.%5.%6.%7.%8."/>
      <w:lvlJc w:val="left"/>
      <w:pPr>
        <w:widowControl/>
        <w:ind w:left="2520" w:hanging="2160"/>
      </w:pPr>
    </w:lvl>
    <w:lvl w:ilvl="8">
      <w:start w:val="1"/>
      <w:numFmt w:val="decimal"/>
      <w:lvlText w:val="%1.%2.%3.%4.%5.%6.%7.%8.%9."/>
      <w:lvlJc w:val="left"/>
      <w:pPr>
        <w:widowControl/>
        <w:ind w:left="2880" w:hanging="2520"/>
      </w:pPr>
    </w:lvl>
  </w:abstractNum>
  <w:abstractNum w:abstractNumId="4">
    <w:nsid w:val="1DD240F4"/>
    <w:multiLevelType w:val="multilevel"/>
    <w:tmpl w:val="13D2E20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5">
    <w:nsid w:val="32146CBF"/>
    <w:multiLevelType w:val="multilevel"/>
    <w:tmpl w:val="4C2803E0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>
    <w:nsid w:val="38A8520F"/>
    <w:multiLevelType w:val="multilevel"/>
    <w:tmpl w:val="934C5B6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7">
    <w:nsid w:val="3E435C2E"/>
    <w:multiLevelType w:val="multilevel"/>
    <w:tmpl w:val="29F854A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8">
    <w:nsid w:val="3E5D2A43"/>
    <w:multiLevelType w:val="multilevel"/>
    <w:tmpl w:val="01EAB424"/>
    <w:lvl w:ilvl="0">
      <w:start w:val="2"/>
      <w:numFmt w:val="decimal"/>
      <w:lvlText w:val="%1"/>
      <w:lvlJc w:val="left"/>
      <w:pPr>
        <w:widowControl/>
        <w:ind w:left="375" w:hanging="375"/>
      </w:pPr>
    </w:lvl>
    <w:lvl w:ilvl="1">
      <w:start w:val="1"/>
      <w:numFmt w:val="decimal"/>
      <w:lvlText w:val="%1.%2"/>
      <w:lvlJc w:val="left"/>
      <w:pPr>
        <w:widowControl/>
        <w:ind w:left="720" w:hanging="720"/>
      </w:pPr>
    </w:lvl>
    <w:lvl w:ilvl="2">
      <w:start w:val="1"/>
      <w:numFmt w:val="decimal"/>
      <w:lvlText w:val="%1.%2.%3"/>
      <w:lvlJc w:val="left"/>
      <w:pPr>
        <w:widowControl/>
        <w:ind w:left="720" w:hanging="720"/>
      </w:pPr>
    </w:lvl>
    <w:lvl w:ilvl="3">
      <w:start w:val="1"/>
      <w:numFmt w:val="decimal"/>
      <w:lvlText w:val="%1.%2.%3.%4"/>
      <w:lvlJc w:val="left"/>
      <w:pPr>
        <w:widowControl/>
        <w:ind w:left="1080" w:hanging="1080"/>
      </w:pPr>
    </w:lvl>
    <w:lvl w:ilvl="4">
      <w:start w:val="1"/>
      <w:numFmt w:val="decimal"/>
      <w:lvlText w:val="%1.%2.%3.%4.%5"/>
      <w:lvlJc w:val="left"/>
      <w:pPr>
        <w:widowControl/>
        <w:ind w:left="1440" w:hanging="1440"/>
      </w:pPr>
    </w:lvl>
    <w:lvl w:ilvl="5">
      <w:start w:val="1"/>
      <w:numFmt w:val="decimal"/>
      <w:lvlText w:val="%1.%2.%3.%4.%5.%6"/>
      <w:lvlJc w:val="left"/>
      <w:pPr>
        <w:widowControl/>
        <w:ind w:left="1800" w:hanging="1800"/>
      </w:pPr>
    </w:lvl>
    <w:lvl w:ilvl="6">
      <w:start w:val="1"/>
      <w:numFmt w:val="decimal"/>
      <w:lvlText w:val="%1.%2.%3.%4.%5.%6.%7"/>
      <w:lvlJc w:val="left"/>
      <w:pPr>
        <w:widowControl/>
        <w:ind w:left="1800" w:hanging="1800"/>
      </w:pPr>
    </w:lvl>
    <w:lvl w:ilvl="7">
      <w:start w:val="1"/>
      <w:numFmt w:val="decimal"/>
      <w:lvlText w:val="%1.%2.%3.%4.%5.%6.%7.%8"/>
      <w:lvlJc w:val="left"/>
      <w:pPr>
        <w:widowControl/>
        <w:ind w:left="2160" w:hanging="2160"/>
      </w:pPr>
    </w:lvl>
    <w:lvl w:ilvl="8">
      <w:start w:val="1"/>
      <w:numFmt w:val="decimal"/>
      <w:lvlText w:val="%1.%2.%3.%4.%5.%6.%7.%8.%9"/>
      <w:lvlJc w:val="left"/>
      <w:pPr>
        <w:widowControl/>
        <w:ind w:left="2520" w:hanging="2520"/>
      </w:pPr>
    </w:lvl>
  </w:abstractNum>
  <w:abstractNum w:abstractNumId="9">
    <w:nsid w:val="4097112F"/>
    <w:multiLevelType w:val="multilevel"/>
    <w:tmpl w:val="CD142A7A"/>
    <w:lvl w:ilvl="0">
      <w:start w:val="1"/>
      <w:numFmt w:val="decimal"/>
      <w:lvlText w:val="%1."/>
      <w:lvlJc w:val="left"/>
      <w:pPr>
        <w:widowControl/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widowControl/>
        <w:ind w:left="792" w:hanging="432"/>
      </w:pPr>
      <w:rPr>
        <w:b w:val="0"/>
        <w:sz w:val="21"/>
      </w:rPr>
    </w:lvl>
    <w:lvl w:ilvl="2">
      <w:start w:val="1"/>
      <w:numFmt w:val="decimal"/>
      <w:lvlText w:val="%1.%2.%3."/>
      <w:lvlJc w:val="left"/>
      <w:pPr>
        <w:widowControl/>
        <w:ind w:left="1224" w:hanging="504"/>
      </w:pPr>
    </w:lvl>
    <w:lvl w:ilvl="3">
      <w:start w:val="1"/>
      <w:numFmt w:val="decimal"/>
      <w:lvlText w:val="%1.%2.%3.%4."/>
      <w:lvlJc w:val="left"/>
      <w:pPr>
        <w:widowControl/>
        <w:ind w:left="1728" w:hanging="648"/>
      </w:pPr>
    </w:lvl>
    <w:lvl w:ilvl="4">
      <w:start w:val="1"/>
      <w:numFmt w:val="decimal"/>
      <w:lvlText w:val="%1.%2.%3.%4.%5."/>
      <w:lvlJc w:val="left"/>
      <w:pPr>
        <w:widowControl/>
        <w:ind w:left="2232" w:hanging="792"/>
      </w:pPr>
    </w:lvl>
    <w:lvl w:ilvl="5">
      <w:start w:val="1"/>
      <w:numFmt w:val="decimal"/>
      <w:lvlText w:val="%1.%2.%3.%4.%5.%6."/>
      <w:lvlJc w:val="left"/>
      <w:pPr>
        <w:widowControl/>
        <w:ind w:left="2736" w:hanging="936"/>
      </w:pPr>
    </w:lvl>
    <w:lvl w:ilvl="6">
      <w:start w:val="1"/>
      <w:numFmt w:val="decimal"/>
      <w:lvlText w:val="%1.%2.%3.%4.%5.%6.%7."/>
      <w:lvlJc w:val="left"/>
      <w:pPr>
        <w:widowControl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/>
        <w:ind w:left="4320" w:hanging="1440"/>
      </w:pPr>
    </w:lvl>
  </w:abstractNum>
  <w:abstractNum w:abstractNumId="10">
    <w:nsid w:val="43986518"/>
    <w:multiLevelType w:val="multilevel"/>
    <w:tmpl w:val="23B061A2"/>
    <w:lvl w:ilvl="0">
      <w:start w:val="1"/>
      <w:numFmt w:val="decimal"/>
      <w:lvlText w:val="%1)"/>
      <w:lvlJc w:val="left"/>
      <w:pPr>
        <w:widowControl/>
        <w:ind w:left="-364" w:hanging="432"/>
      </w:pPr>
    </w:lvl>
    <w:lvl w:ilvl="1">
      <w:start w:val="1"/>
      <w:numFmt w:val="decimal"/>
      <w:pStyle w:val="2"/>
      <w:suff w:val="nothing"/>
      <w:lvlText w:val=""/>
      <w:lvlJc w:val="left"/>
      <w:pPr>
        <w:widowControl/>
        <w:ind w:left="-220" w:hanging="576"/>
      </w:pPr>
    </w:lvl>
    <w:lvl w:ilvl="2">
      <w:start w:val="1"/>
      <w:numFmt w:val="decimal"/>
      <w:suff w:val="nothing"/>
      <w:lvlText w:val=""/>
      <w:lvlJc w:val="left"/>
      <w:pPr>
        <w:widowControl/>
        <w:ind w:left="-76" w:hanging="720"/>
      </w:pPr>
    </w:lvl>
    <w:lvl w:ilvl="3">
      <w:start w:val="1"/>
      <w:numFmt w:val="decimal"/>
      <w:suff w:val="nothing"/>
      <w:lvlText w:val=""/>
      <w:lvlJc w:val="left"/>
      <w:pPr>
        <w:widowControl/>
        <w:ind w:left="68" w:hanging="864"/>
      </w:pPr>
    </w:lvl>
    <w:lvl w:ilvl="4">
      <w:start w:val="1"/>
      <w:numFmt w:val="decimal"/>
      <w:suff w:val="nothing"/>
      <w:lvlText w:val=""/>
      <w:lvlJc w:val="left"/>
      <w:pPr>
        <w:widowControl/>
        <w:ind w:left="212" w:hanging="1008"/>
      </w:pPr>
    </w:lvl>
    <w:lvl w:ilvl="5">
      <w:start w:val="1"/>
      <w:numFmt w:val="decimal"/>
      <w:suff w:val="nothing"/>
      <w:lvlText w:val=""/>
      <w:lvlJc w:val="left"/>
      <w:pPr>
        <w:widowControl/>
        <w:ind w:left="356" w:hanging="1152"/>
      </w:pPr>
    </w:lvl>
    <w:lvl w:ilvl="6">
      <w:start w:val="1"/>
      <w:numFmt w:val="decimal"/>
      <w:suff w:val="nothing"/>
      <w:lvlText w:val=""/>
      <w:lvlJc w:val="left"/>
      <w:pPr>
        <w:widowControl/>
        <w:ind w:left="500" w:hanging="1296"/>
      </w:pPr>
    </w:lvl>
    <w:lvl w:ilvl="7">
      <w:start w:val="1"/>
      <w:numFmt w:val="decimal"/>
      <w:suff w:val="nothing"/>
      <w:lvlText w:val=""/>
      <w:lvlJc w:val="left"/>
      <w:pPr>
        <w:widowControl/>
        <w:ind w:left="644" w:hanging="1440"/>
      </w:pPr>
    </w:lvl>
    <w:lvl w:ilvl="8">
      <w:start w:val="1"/>
      <w:numFmt w:val="decimal"/>
      <w:suff w:val="nothing"/>
      <w:lvlText w:val=""/>
      <w:lvlJc w:val="left"/>
      <w:pPr>
        <w:widowControl/>
        <w:ind w:left="788" w:hanging="1584"/>
      </w:pPr>
    </w:lvl>
  </w:abstractNum>
  <w:abstractNum w:abstractNumId="11">
    <w:nsid w:val="545E5DF7"/>
    <w:multiLevelType w:val="multilevel"/>
    <w:tmpl w:val="4DB48B4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2">
    <w:nsid w:val="5CB42A10"/>
    <w:multiLevelType w:val="multilevel"/>
    <w:tmpl w:val="DB74A9FA"/>
    <w:lvl w:ilvl="0">
      <w:start w:val="3"/>
      <w:numFmt w:val="upperRoman"/>
      <w:lvlText w:val="%1."/>
      <w:lvlJc w:val="left"/>
      <w:pPr>
        <w:widowControl/>
        <w:ind w:left="1080" w:hanging="72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3">
    <w:nsid w:val="63D6583A"/>
    <w:multiLevelType w:val="multilevel"/>
    <w:tmpl w:val="0419001F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792" w:hanging="432"/>
      </w:pPr>
    </w:lvl>
    <w:lvl w:ilvl="2">
      <w:start w:val="1"/>
      <w:numFmt w:val="decimal"/>
      <w:lvlText w:val="%1.%2.%3."/>
      <w:lvlJc w:val="left"/>
      <w:pPr>
        <w:widowControl/>
        <w:ind w:left="1224" w:hanging="504"/>
      </w:pPr>
    </w:lvl>
    <w:lvl w:ilvl="3">
      <w:start w:val="1"/>
      <w:numFmt w:val="decimal"/>
      <w:lvlText w:val="%1.%2.%3.%4."/>
      <w:lvlJc w:val="left"/>
      <w:pPr>
        <w:widowControl/>
        <w:ind w:left="1728" w:hanging="648"/>
      </w:pPr>
    </w:lvl>
    <w:lvl w:ilvl="4">
      <w:start w:val="1"/>
      <w:numFmt w:val="decimal"/>
      <w:lvlText w:val="%1.%2.%3.%4.%5."/>
      <w:lvlJc w:val="left"/>
      <w:pPr>
        <w:widowControl/>
        <w:ind w:left="2232" w:hanging="792"/>
      </w:pPr>
    </w:lvl>
    <w:lvl w:ilvl="5">
      <w:start w:val="1"/>
      <w:numFmt w:val="decimal"/>
      <w:lvlText w:val="%1.%2.%3.%4.%5.%6."/>
      <w:lvlJc w:val="left"/>
      <w:pPr>
        <w:widowControl/>
        <w:ind w:left="2736" w:hanging="936"/>
      </w:pPr>
    </w:lvl>
    <w:lvl w:ilvl="6">
      <w:start w:val="1"/>
      <w:numFmt w:val="decimal"/>
      <w:lvlText w:val="%1.%2.%3.%4.%5.%6.%7."/>
      <w:lvlJc w:val="left"/>
      <w:pPr>
        <w:widowControl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/>
        <w:ind w:left="4320" w:hanging="1440"/>
      </w:pPr>
    </w:lvl>
  </w:abstractNum>
  <w:abstractNum w:abstractNumId="14">
    <w:nsid w:val="67003101"/>
    <w:multiLevelType w:val="multilevel"/>
    <w:tmpl w:val="4718BF9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5">
    <w:nsid w:val="6B8B722E"/>
    <w:multiLevelType w:val="multilevel"/>
    <w:tmpl w:val="47BE9486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6">
    <w:nsid w:val="6C94343A"/>
    <w:multiLevelType w:val="multilevel"/>
    <w:tmpl w:val="CB56325E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7">
    <w:nsid w:val="72ED4831"/>
    <w:multiLevelType w:val="multilevel"/>
    <w:tmpl w:val="872AC854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5"/>
  </w:num>
  <w:num w:numId="5">
    <w:abstractNumId w:val="17"/>
  </w:num>
  <w:num w:numId="6">
    <w:abstractNumId w:val="16"/>
  </w:num>
  <w:num w:numId="7">
    <w:abstractNumId w:val="14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12"/>
  </w:num>
  <w:num w:numId="13">
    <w:abstractNumId w:val="9"/>
  </w:num>
  <w:num w:numId="14">
    <w:abstractNumId w:val="2"/>
  </w:num>
  <w:num w:numId="15">
    <w:abstractNumId w:val="8"/>
  </w:num>
  <w:num w:numId="16">
    <w:abstractNumId w:val="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43CA"/>
    <w:rsid w:val="002747A9"/>
    <w:rsid w:val="00453F0C"/>
    <w:rsid w:val="004B0072"/>
    <w:rsid w:val="00567480"/>
    <w:rsid w:val="008243CA"/>
    <w:rsid w:val="00963D17"/>
    <w:rsid w:val="00972A80"/>
    <w:rsid w:val="00A9523B"/>
    <w:rsid w:val="00BF5AE9"/>
    <w:rsid w:val="00C6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7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widowControl w:val="0"/>
      <w:numPr>
        <w:ilvl w:val="1"/>
        <w:numId w:val="18"/>
      </w:numPr>
      <w:spacing w:before="280" w:after="280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1F3763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rFonts w:ascii="Calibri" w:hAnsi="Calibri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rFonts w:ascii="Calibri" w:hAnsi="Calibri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rFonts w:ascii="Calibri" w:hAnsi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примечания1"/>
    <w:link w:val="a4"/>
    <w:rPr>
      <w:sz w:val="16"/>
    </w:rPr>
  </w:style>
  <w:style w:type="character" w:styleId="a4">
    <w:name w:val="annotation reference"/>
    <w:link w:val="12"/>
    <w:rPr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0">
    <w:name w:val="Body Text"/>
    <w:basedOn w:val="a"/>
    <w:link w:val="a5"/>
    <w:pPr>
      <w:widowControl w:val="0"/>
      <w:spacing w:after="120" w:line="240" w:lineRule="auto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basedOn w:val="1"/>
    <w:link w:val="a0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Знак Знак Знак Знак"/>
    <w:basedOn w:val="a"/>
    <w:link w:val="a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7">
    <w:name w:val="Знак Знак Знак Знак"/>
    <w:basedOn w:val="1"/>
    <w:link w:val="a6"/>
    <w:rPr>
      <w:rFonts w:ascii="Tahoma" w:hAnsi="Tahoma"/>
      <w:sz w:val="20"/>
    </w:rPr>
  </w:style>
  <w:style w:type="paragraph" w:customStyle="1" w:styleId="nobr">
    <w:name w:val="nobr"/>
    <w:basedOn w:val="13"/>
    <w:link w:val="nobr0"/>
  </w:style>
  <w:style w:type="character" w:customStyle="1" w:styleId="nobr0">
    <w:name w:val="nobr"/>
    <w:basedOn w:val="a1"/>
    <w:link w:val="nobr"/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customStyle="1" w:styleId="14">
    <w:name w:val="Знак сноски1"/>
    <w:link w:val="aa"/>
    <w:rPr>
      <w:vertAlign w:val="superscript"/>
    </w:rPr>
  </w:style>
  <w:style w:type="character" w:styleId="aa">
    <w:name w:val="footnote reference"/>
    <w:link w:val="14"/>
    <w:rPr>
      <w:vertAlign w:val="superscript"/>
    </w:rPr>
  </w:style>
  <w:style w:type="paragraph" w:customStyle="1" w:styleId="ab">
    <w:link w:val="ac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link w:val="ab"/>
    <w:semiHidden/>
    <w:unhideWhenUsed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Endnote">
    <w:name w:val="Endnote"/>
    <w:basedOn w:val="a"/>
    <w:link w:val="Endnote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1F3763" w:themeColor="accent1" w:themeShade="7F"/>
      <w:sz w:val="24"/>
    </w:rPr>
  </w:style>
  <w:style w:type="paragraph" w:customStyle="1" w:styleId="15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1"/>
    <w:link w:val="15"/>
    <w:rPr>
      <w:color w:val="605E5C"/>
      <w:shd w:val="clear" w:color="auto" w:fill="E1DFDD"/>
    </w:rPr>
  </w:style>
  <w:style w:type="paragraph" w:customStyle="1" w:styleId="WW8Num15z2">
    <w:name w:val="WW8Num15z2"/>
    <w:link w:val="WW8Num15z20"/>
    <w:rPr>
      <w:rFonts w:ascii="Symbol" w:hAnsi="Symbol"/>
      <w:sz w:val="18"/>
    </w:rPr>
  </w:style>
  <w:style w:type="character" w:customStyle="1" w:styleId="WW8Num15z20">
    <w:name w:val="WW8Num15z2"/>
    <w:link w:val="WW8Num15z2"/>
    <w:rPr>
      <w:rFonts w:ascii="Symbol" w:hAnsi="Symbol"/>
      <w:sz w:val="18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m7958361906792100012msolistparagraph">
    <w:name w:val="m_7958361906792100012msolistparagraph"/>
    <w:basedOn w:val="a"/>
    <w:link w:val="m7958361906792100012msolistparagrap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7958361906792100012msolistparagraph0">
    <w:name w:val="m_7958361906792100012msolistparagraph"/>
    <w:basedOn w:val="1"/>
    <w:link w:val="m7958361906792100012msolistparagraph"/>
    <w:rPr>
      <w:rFonts w:ascii="Times New Roman" w:hAnsi="Times New Roman"/>
      <w:sz w:val="24"/>
    </w:rPr>
  </w:style>
  <w:style w:type="paragraph" w:customStyle="1" w:styleId="16">
    <w:name w:val="Знак концевой сноски1"/>
    <w:basedOn w:val="13"/>
    <w:link w:val="af"/>
    <w:rPr>
      <w:vertAlign w:val="superscript"/>
    </w:rPr>
  </w:style>
  <w:style w:type="character" w:styleId="af">
    <w:name w:val="endnote reference"/>
    <w:basedOn w:val="a1"/>
    <w:link w:val="16"/>
    <w:rPr>
      <w:vertAlign w:val="superscript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31">
    <w:name w:val="Основной текст с отступом 31"/>
    <w:basedOn w:val="a"/>
    <w:link w:val="310"/>
    <w:pPr>
      <w:widowControl w:val="0"/>
      <w:spacing w:after="0" w:line="240" w:lineRule="auto"/>
      <w:ind w:firstLine="567"/>
      <w:jc w:val="both"/>
    </w:pPr>
    <w:rPr>
      <w:rFonts w:ascii="Arial" w:hAnsi="Arial"/>
    </w:rPr>
  </w:style>
  <w:style w:type="character" w:customStyle="1" w:styleId="310">
    <w:name w:val="Основной текст с отступом 31"/>
    <w:basedOn w:val="1"/>
    <w:link w:val="31"/>
    <w:rPr>
      <w:rFonts w:ascii="Arial" w:hAnsi="Arial"/>
    </w:rPr>
  </w:style>
  <w:style w:type="paragraph" w:styleId="af0">
    <w:name w:val="annotation subject"/>
    <w:basedOn w:val="af1"/>
    <w:next w:val="af1"/>
    <w:link w:val="af2"/>
    <w:pPr>
      <w:widowControl w:val="0"/>
      <w:ind w:firstLine="0"/>
    </w:pPr>
    <w:rPr>
      <w:b/>
    </w:rPr>
  </w:style>
  <w:style w:type="character" w:customStyle="1" w:styleId="af2">
    <w:name w:val="Тема примечания Знак"/>
    <w:basedOn w:val="af3"/>
    <w:link w:val="af0"/>
    <w:rPr>
      <w:rFonts w:ascii="Calibri" w:hAnsi="Calibri"/>
      <w:b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blk">
    <w:name w:val="blk"/>
    <w:basedOn w:val="13"/>
    <w:link w:val="blk0"/>
  </w:style>
  <w:style w:type="character" w:customStyle="1" w:styleId="blk0">
    <w:name w:val="blk"/>
    <w:basedOn w:val="a1"/>
    <w:link w:val="blk"/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7">
    <w:name w:val="Заголовок1"/>
    <w:basedOn w:val="a"/>
    <w:next w:val="a0"/>
    <w:link w:val="18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18">
    <w:name w:val="Заголовок1"/>
    <w:basedOn w:val="1"/>
    <w:link w:val="17"/>
    <w:rPr>
      <w:rFonts w:ascii="Arial" w:hAnsi="Arial"/>
      <w:sz w:val="28"/>
    </w:rPr>
  </w:style>
  <w:style w:type="paragraph" w:customStyle="1" w:styleId="WW8Num7z1">
    <w:name w:val="WW8Num7z1"/>
    <w:link w:val="WW8Num7z10"/>
    <w:rPr>
      <w:rFonts w:ascii="OpenSymbol" w:hAnsi="OpenSymbol"/>
    </w:rPr>
  </w:style>
  <w:style w:type="character" w:customStyle="1" w:styleId="WW8Num7z10">
    <w:name w:val="WW8Num7z1"/>
    <w:link w:val="WW8Num7z1"/>
    <w:rPr>
      <w:rFonts w:ascii="OpenSymbol" w:hAnsi="OpenSymbol"/>
    </w:rPr>
  </w:style>
  <w:style w:type="paragraph" w:styleId="af1">
    <w:name w:val="annotation text"/>
    <w:basedOn w:val="a"/>
    <w:link w:val="af3"/>
    <w:pPr>
      <w:spacing w:after="0" w:line="240" w:lineRule="auto"/>
      <w:ind w:firstLine="360"/>
    </w:pPr>
    <w:rPr>
      <w:rFonts w:ascii="Calibri" w:hAnsi="Calibri"/>
      <w:sz w:val="20"/>
    </w:rPr>
  </w:style>
  <w:style w:type="character" w:customStyle="1" w:styleId="af3">
    <w:name w:val="Текст примечания Знак"/>
    <w:basedOn w:val="1"/>
    <w:link w:val="af1"/>
    <w:rPr>
      <w:rFonts w:ascii="Calibri" w:hAnsi="Calibri"/>
      <w:sz w:val="20"/>
    </w:rPr>
  </w:style>
  <w:style w:type="paragraph" w:customStyle="1" w:styleId="af6">
    <w:name w:val="Непропорциональный текст"/>
    <w:link w:val="af7"/>
    <w:rPr>
      <w:rFonts w:ascii="DejaVu Sans Mono" w:hAnsi="DejaVu Sans Mono"/>
    </w:rPr>
  </w:style>
  <w:style w:type="character" w:customStyle="1" w:styleId="af7">
    <w:name w:val="Непропорциональный текст"/>
    <w:link w:val="af6"/>
    <w:rPr>
      <w:rFonts w:ascii="DejaVu Sans Mono" w:hAnsi="DejaVu Sans Mono"/>
    </w:rPr>
  </w:style>
  <w:style w:type="paragraph" w:customStyle="1" w:styleId="19">
    <w:name w:val="Абзац списка1"/>
    <w:basedOn w:val="a"/>
    <w:link w:val="1a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1a">
    <w:name w:val="Абзац списка1"/>
    <w:basedOn w:val="1"/>
    <w:link w:val="19"/>
    <w:rPr>
      <w:rFonts w:ascii="Calibri" w:hAnsi="Calibri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af8">
    <w:name w:val="Normal (Web)"/>
    <w:basedOn w:val="a"/>
    <w:link w:val="af9"/>
    <w:pPr>
      <w:widowControl w:val="0"/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f9">
    <w:name w:val="Обычный (веб) Знак"/>
    <w:basedOn w:val="1"/>
    <w:link w:val="a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character" w:customStyle="1" w:styleId="50">
    <w:name w:val="Заголовок 5 Знак"/>
    <w:basedOn w:val="1"/>
    <w:link w:val="5"/>
    <w:rPr>
      <w:rFonts w:ascii="Calibri" w:hAnsi="Calibri"/>
      <w:b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fa">
    <w:name w:val="Balloon Text"/>
    <w:basedOn w:val="a"/>
    <w:link w:val="afb"/>
    <w:pPr>
      <w:widowControl w:val="0"/>
      <w:spacing w:after="0" w:line="240" w:lineRule="auto"/>
    </w:pPr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customStyle="1" w:styleId="1b">
    <w:name w:val="Неразрешенное упоминание1"/>
    <w:basedOn w:val="13"/>
    <w:link w:val="1c"/>
    <w:rPr>
      <w:color w:val="605E5C"/>
      <w:shd w:val="clear" w:color="auto" w:fill="E1DFDD"/>
    </w:rPr>
  </w:style>
  <w:style w:type="character" w:customStyle="1" w:styleId="1c">
    <w:name w:val="Неразрешенное упоминание1"/>
    <w:basedOn w:val="a1"/>
    <w:link w:val="1b"/>
    <w:rPr>
      <w:color w:val="605E5C"/>
      <w:shd w:val="clear" w:color="auto" w:fill="E1DFDD"/>
    </w:rPr>
  </w:style>
  <w:style w:type="paragraph" w:customStyle="1" w:styleId="1d">
    <w:name w:val="Указатель1"/>
    <w:basedOn w:val="a"/>
    <w:link w:val="1e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e">
    <w:name w:val="Указатель1"/>
    <w:basedOn w:val="1"/>
    <w:link w:val="1d"/>
    <w:rPr>
      <w:rFonts w:ascii="Times New Roman" w:hAnsi="Times New Roman"/>
      <w:sz w:val="24"/>
    </w:rPr>
  </w:style>
  <w:style w:type="paragraph" w:customStyle="1" w:styleId="1f">
    <w:name w:val="Гиперссылка1"/>
    <w:link w:val="afc"/>
    <w:rPr>
      <w:color w:val="000080"/>
      <w:u w:val="single"/>
    </w:rPr>
  </w:style>
  <w:style w:type="character" w:styleId="afc">
    <w:name w:val="Hyperlink"/>
    <w:link w:val="1f"/>
    <w:rPr>
      <w:color w:val="000080"/>
      <w:u w:val="single"/>
    </w:rPr>
  </w:style>
  <w:style w:type="paragraph" w:customStyle="1" w:styleId="Footnote">
    <w:name w:val="Footnote"/>
    <w:basedOn w:val="a"/>
    <w:link w:val="Footnote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2">
    <w:name w:val="Название1"/>
    <w:basedOn w:val="a"/>
    <w:link w:val="1f3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f3">
    <w:name w:val="Название1"/>
    <w:basedOn w:val="1"/>
    <w:link w:val="1f2"/>
    <w:rPr>
      <w:rFonts w:ascii="Times New Roman" w:hAnsi="Times New Roman"/>
      <w:i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8z0">
    <w:name w:val="WW8Num8z0"/>
    <w:link w:val="WW8Num8z00"/>
    <w:rPr>
      <w:rFonts w:ascii="Symbol" w:hAnsi="Symbol"/>
      <w:sz w:val="18"/>
    </w:rPr>
  </w:style>
  <w:style w:type="character" w:customStyle="1" w:styleId="WW8Num8z00">
    <w:name w:val="WW8Num8z0"/>
    <w:link w:val="WW8Num8z0"/>
    <w:rPr>
      <w:rFonts w:ascii="Symbol" w:hAnsi="Symbol"/>
      <w:sz w:val="1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fd">
    <w:name w:val="No Spacing"/>
    <w:link w:val="afe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e">
    <w:name w:val="Без интервала Знак"/>
    <w:link w:val="afd"/>
    <w:rPr>
      <w:rFonts w:ascii="Times New Roman" w:hAnsi="Times New Roman"/>
      <w:sz w:val="24"/>
    </w:rPr>
  </w:style>
  <w:style w:type="paragraph" w:customStyle="1" w:styleId="hl">
    <w:name w:val="hl"/>
    <w:basedOn w:val="13"/>
    <w:link w:val="hl0"/>
  </w:style>
  <w:style w:type="character" w:customStyle="1" w:styleId="hl0">
    <w:name w:val="hl"/>
    <w:basedOn w:val="a1"/>
    <w:link w:val="hl"/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aff">
    <w:name w:val="List"/>
    <w:basedOn w:val="a0"/>
    <w:link w:val="aff0"/>
  </w:style>
  <w:style w:type="character" w:customStyle="1" w:styleId="aff0">
    <w:name w:val="Список Знак"/>
    <w:basedOn w:val="a5"/>
    <w:link w:val="aff"/>
    <w:rPr>
      <w:rFonts w:ascii="Times New Roman" w:hAnsi="Times New Roman"/>
      <w:sz w:val="24"/>
    </w:rPr>
  </w:style>
  <w:style w:type="paragraph" w:customStyle="1" w:styleId="1f4">
    <w:name w:val="Строгий1"/>
    <w:basedOn w:val="13"/>
    <w:link w:val="aff1"/>
    <w:rPr>
      <w:b/>
    </w:rPr>
  </w:style>
  <w:style w:type="character" w:styleId="aff1">
    <w:name w:val="Strong"/>
    <w:basedOn w:val="a1"/>
    <w:link w:val="1f4"/>
    <w:rPr>
      <w:b/>
    </w:rPr>
  </w:style>
  <w:style w:type="paragraph" w:customStyle="1" w:styleId="1f5">
    <w:name w:val="Просмотренная гиперссылка1"/>
    <w:basedOn w:val="13"/>
    <w:link w:val="aff2"/>
    <w:rPr>
      <w:color w:val="954F72" w:themeColor="followedHyperlink"/>
      <w:u w:val="single"/>
    </w:rPr>
  </w:style>
  <w:style w:type="character" w:styleId="aff2">
    <w:name w:val="FollowedHyperlink"/>
    <w:basedOn w:val="a1"/>
    <w:link w:val="1f5"/>
    <w:rPr>
      <w:color w:val="954F72" w:themeColor="followedHyperlink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3">
    <w:name w:val="Subtitle"/>
    <w:basedOn w:val="a"/>
    <w:next w:val="a"/>
    <w:link w:val="aff4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f4">
    <w:name w:val="Подзаголовок Знак"/>
    <w:basedOn w:val="1"/>
    <w:link w:val="aff3"/>
    <w:rPr>
      <w:rFonts w:ascii="Georgia" w:hAnsi="Georgia"/>
      <w:i/>
      <w:color w:val="666666"/>
      <w:sz w:val="48"/>
    </w:rPr>
  </w:style>
  <w:style w:type="paragraph" w:customStyle="1" w:styleId="aff5">
    <w:name w:val="Маркеры списка"/>
    <w:link w:val="aff6"/>
    <w:rPr>
      <w:rFonts w:ascii="OpenSymbol" w:hAnsi="OpenSymbol"/>
    </w:rPr>
  </w:style>
  <w:style w:type="character" w:customStyle="1" w:styleId="aff6">
    <w:name w:val="Маркеры списка"/>
    <w:link w:val="aff5"/>
    <w:rPr>
      <w:rFonts w:ascii="OpenSymbol" w:hAnsi="OpenSymbol"/>
    </w:rPr>
  </w:style>
  <w:style w:type="paragraph" w:styleId="aff7">
    <w:name w:val="Title"/>
    <w:basedOn w:val="a"/>
    <w:link w:val="aff8"/>
    <w:uiPriority w:val="10"/>
    <w:qFormat/>
    <w:pPr>
      <w:widowControl w:val="0"/>
      <w:spacing w:before="57" w:after="0" w:line="240" w:lineRule="auto"/>
      <w:ind w:left="100"/>
    </w:pPr>
    <w:rPr>
      <w:rFonts w:ascii="Times New Roman" w:hAnsi="Times New Roman"/>
      <w:b/>
      <w:sz w:val="33"/>
    </w:rPr>
  </w:style>
  <w:style w:type="character" w:customStyle="1" w:styleId="aff8">
    <w:name w:val="Название Знак"/>
    <w:basedOn w:val="1"/>
    <w:link w:val="aff7"/>
    <w:rPr>
      <w:rFonts w:ascii="Times New Roman" w:hAnsi="Times New Roman"/>
      <w:b/>
      <w:sz w:val="33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4"/>
    </w:rPr>
  </w:style>
  <w:style w:type="paragraph" w:styleId="aff9">
    <w:name w:val="header"/>
    <w:basedOn w:val="a"/>
    <w:link w:val="aff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a">
    <w:name w:val="Верхний колонтитул Знак"/>
    <w:basedOn w:val="1"/>
    <w:link w:val="aff9"/>
    <w:rPr>
      <w:rFonts w:ascii="Times New Roman" w:hAnsi="Times New Roman"/>
      <w:sz w:val="24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0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table" w:customStyle="1" w:styleId="TableNormal">
    <w:name w:val="Table Normal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b">
    <w:name w:val="Table Grid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widowControl w:val="0"/>
      <w:numPr>
        <w:ilvl w:val="1"/>
        <w:numId w:val="18"/>
      </w:numPr>
      <w:spacing w:before="280" w:after="280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1F3763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rFonts w:ascii="Calibri" w:hAnsi="Calibri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rFonts w:ascii="Calibri" w:hAnsi="Calibri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rFonts w:ascii="Calibri" w:hAnsi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примечания1"/>
    <w:link w:val="a4"/>
    <w:rPr>
      <w:sz w:val="16"/>
    </w:rPr>
  </w:style>
  <w:style w:type="character" w:styleId="a4">
    <w:name w:val="annotation reference"/>
    <w:link w:val="12"/>
    <w:rPr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0">
    <w:name w:val="Body Text"/>
    <w:basedOn w:val="a"/>
    <w:link w:val="a5"/>
    <w:pPr>
      <w:widowControl w:val="0"/>
      <w:spacing w:after="120" w:line="240" w:lineRule="auto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basedOn w:val="1"/>
    <w:link w:val="a0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Знак Знак Знак Знак"/>
    <w:basedOn w:val="a"/>
    <w:link w:val="a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7">
    <w:name w:val="Знак Знак Знак Знак"/>
    <w:basedOn w:val="1"/>
    <w:link w:val="a6"/>
    <w:rPr>
      <w:rFonts w:ascii="Tahoma" w:hAnsi="Tahoma"/>
      <w:sz w:val="20"/>
    </w:rPr>
  </w:style>
  <w:style w:type="paragraph" w:customStyle="1" w:styleId="nobr">
    <w:name w:val="nobr"/>
    <w:basedOn w:val="13"/>
    <w:link w:val="nobr0"/>
  </w:style>
  <w:style w:type="character" w:customStyle="1" w:styleId="nobr0">
    <w:name w:val="nobr"/>
    <w:basedOn w:val="a1"/>
    <w:link w:val="nobr"/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customStyle="1" w:styleId="14">
    <w:name w:val="Знак сноски1"/>
    <w:link w:val="aa"/>
    <w:rPr>
      <w:vertAlign w:val="superscript"/>
    </w:rPr>
  </w:style>
  <w:style w:type="character" w:styleId="aa">
    <w:name w:val="footnote reference"/>
    <w:link w:val="14"/>
    <w:rPr>
      <w:vertAlign w:val="superscript"/>
    </w:rPr>
  </w:style>
  <w:style w:type="paragraph" w:customStyle="1" w:styleId="ab">
    <w:link w:val="ac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link w:val="ab"/>
    <w:semiHidden/>
    <w:unhideWhenUsed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Endnote">
    <w:name w:val="Endnote"/>
    <w:basedOn w:val="a"/>
    <w:link w:val="Endnote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1F3763" w:themeColor="accent1" w:themeShade="7F"/>
      <w:sz w:val="24"/>
    </w:rPr>
  </w:style>
  <w:style w:type="paragraph" w:customStyle="1" w:styleId="15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1"/>
    <w:link w:val="15"/>
    <w:rPr>
      <w:color w:val="605E5C"/>
      <w:shd w:val="clear" w:color="auto" w:fill="E1DFDD"/>
    </w:rPr>
  </w:style>
  <w:style w:type="paragraph" w:customStyle="1" w:styleId="WW8Num15z2">
    <w:name w:val="WW8Num15z2"/>
    <w:link w:val="WW8Num15z20"/>
    <w:rPr>
      <w:rFonts w:ascii="Symbol" w:hAnsi="Symbol"/>
      <w:sz w:val="18"/>
    </w:rPr>
  </w:style>
  <w:style w:type="character" w:customStyle="1" w:styleId="WW8Num15z20">
    <w:name w:val="WW8Num15z2"/>
    <w:link w:val="WW8Num15z2"/>
    <w:rPr>
      <w:rFonts w:ascii="Symbol" w:hAnsi="Symbol"/>
      <w:sz w:val="18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m7958361906792100012msolistparagraph">
    <w:name w:val="m_7958361906792100012msolistparagraph"/>
    <w:basedOn w:val="a"/>
    <w:link w:val="m7958361906792100012msolistparagrap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7958361906792100012msolistparagraph0">
    <w:name w:val="m_7958361906792100012msolistparagraph"/>
    <w:basedOn w:val="1"/>
    <w:link w:val="m7958361906792100012msolistparagraph"/>
    <w:rPr>
      <w:rFonts w:ascii="Times New Roman" w:hAnsi="Times New Roman"/>
      <w:sz w:val="24"/>
    </w:rPr>
  </w:style>
  <w:style w:type="paragraph" w:customStyle="1" w:styleId="16">
    <w:name w:val="Знак концевой сноски1"/>
    <w:basedOn w:val="13"/>
    <w:link w:val="af"/>
    <w:rPr>
      <w:vertAlign w:val="superscript"/>
    </w:rPr>
  </w:style>
  <w:style w:type="character" w:styleId="af">
    <w:name w:val="endnote reference"/>
    <w:basedOn w:val="a1"/>
    <w:link w:val="16"/>
    <w:rPr>
      <w:vertAlign w:val="superscript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31">
    <w:name w:val="Основной текст с отступом 31"/>
    <w:basedOn w:val="a"/>
    <w:link w:val="310"/>
    <w:pPr>
      <w:widowControl w:val="0"/>
      <w:spacing w:after="0" w:line="240" w:lineRule="auto"/>
      <w:ind w:firstLine="567"/>
      <w:jc w:val="both"/>
    </w:pPr>
    <w:rPr>
      <w:rFonts w:ascii="Arial" w:hAnsi="Arial"/>
    </w:rPr>
  </w:style>
  <w:style w:type="character" w:customStyle="1" w:styleId="310">
    <w:name w:val="Основной текст с отступом 31"/>
    <w:basedOn w:val="1"/>
    <w:link w:val="31"/>
    <w:rPr>
      <w:rFonts w:ascii="Arial" w:hAnsi="Arial"/>
    </w:rPr>
  </w:style>
  <w:style w:type="paragraph" w:styleId="af0">
    <w:name w:val="annotation subject"/>
    <w:basedOn w:val="af1"/>
    <w:next w:val="af1"/>
    <w:link w:val="af2"/>
    <w:pPr>
      <w:widowControl w:val="0"/>
      <w:ind w:firstLine="0"/>
    </w:pPr>
    <w:rPr>
      <w:b/>
    </w:rPr>
  </w:style>
  <w:style w:type="character" w:customStyle="1" w:styleId="af2">
    <w:name w:val="Тема примечания Знак"/>
    <w:basedOn w:val="af3"/>
    <w:link w:val="af0"/>
    <w:rPr>
      <w:rFonts w:ascii="Calibri" w:hAnsi="Calibri"/>
      <w:b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blk">
    <w:name w:val="blk"/>
    <w:basedOn w:val="13"/>
    <w:link w:val="blk0"/>
  </w:style>
  <w:style w:type="character" w:customStyle="1" w:styleId="blk0">
    <w:name w:val="blk"/>
    <w:basedOn w:val="a1"/>
    <w:link w:val="blk"/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7">
    <w:name w:val="Заголовок1"/>
    <w:basedOn w:val="a"/>
    <w:next w:val="a0"/>
    <w:link w:val="18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18">
    <w:name w:val="Заголовок1"/>
    <w:basedOn w:val="1"/>
    <w:link w:val="17"/>
    <w:rPr>
      <w:rFonts w:ascii="Arial" w:hAnsi="Arial"/>
      <w:sz w:val="28"/>
    </w:rPr>
  </w:style>
  <w:style w:type="paragraph" w:customStyle="1" w:styleId="WW8Num7z1">
    <w:name w:val="WW8Num7z1"/>
    <w:link w:val="WW8Num7z10"/>
    <w:rPr>
      <w:rFonts w:ascii="OpenSymbol" w:hAnsi="OpenSymbol"/>
    </w:rPr>
  </w:style>
  <w:style w:type="character" w:customStyle="1" w:styleId="WW8Num7z10">
    <w:name w:val="WW8Num7z1"/>
    <w:link w:val="WW8Num7z1"/>
    <w:rPr>
      <w:rFonts w:ascii="OpenSymbol" w:hAnsi="OpenSymbol"/>
    </w:rPr>
  </w:style>
  <w:style w:type="paragraph" w:styleId="af1">
    <w:name w:val="annotation text"/>
    <w:basedOn w:val="a"/>
    <w:link w:val="af3"/>
    <w:pPr>
      <w:spacing w:after="0" w:line="240" w:lineRule="auto"/>
      <w:ind w:firstLine="360"/>
    </w:pPr>
    <w:rPr>
      <w:rFonts w:ascii="Calibri" w:hAnsi="Calibri"/>
      <w:sz w:val="20"/>
    </w:rPr>
  </w:style>
  <w:style w:type="character" w:customStyle="1" w:styleId="af3">
    <w:name w:val="Текст примечания Знак"/>
    <w:basedOn w:val="1"/>
    <w:link w:val="af1"/>
    <w:rPr>
      <w:rFonts w:ascii="Calibri" w:hAnsi="Calibri"/>
      <w:sz w:val="20"/>
    </w:rPr>
  </w:style>
  <w:style w:type="paragraph" w:customStyle="1" w:styleId="af6">
    <w:name w:val="Непропорциональный текст"/>
    <w:link w:val="af7"/>
    <w:rPr>
      <w:rFonts w:ascii="DejaVu Sans Mono" w:hAnsi="DejaVu Sans Mono"/>
    </w:rPr>
  </w:style>
  <w:style w:type="character" w:customStyle="1" w:styleId="af7">
    <w:name w:val="Непропорциональный текст"/>
    <w:link w:val="af6"/>
    <w:rPr>
      <w:rFonts w:ascii="DejaVu Sans Mono" w:hAnsi="DejaVu Sans Mono"/>
    </w:rPr>
  </w:style>
  <w:style w:type="paragraph" w:customStyle="1" w:styleId="19">
    <w:name w:val="Абзац списка1"/>
    <w:basedOn w:val="a"/>
    <w:link w:val="1a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1a">
    <w:name w:val="Абзац списка1"/>
    <w:basedOn w:val="1"/>
    <w:link w:val="19"/>
    <w:rPr>
      <w:rFonts w:ascii="Calibri" w:hAnsi="Calibri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af8">
    <w:name w:val="Normal (Web)"/>
    <w:basedOn w:val="a"/>
    <w:link w:val="af9"/>
    <w:pPr>
      <w:widowControl w:val="0"/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f9">
    <w:name w:val="Обычный (веб) Знак"/>
    <w:basedOn w:val="1"/>
    <w:link w:val="a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character" w:customStyle="1" w:styleId="50">
    <w:name w:val="Заголовок 5 Знак"/>
    <w:basedOn w:val="1"/>
    <w:link w:val="5"/>
    <w:rPr>
      <w:rFonts w:ascii="Calibri" w:hAnsi="Calibri"/>
      <w:b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fa">
    <w:name w:val="Balloon Text"/>
    <w:basedOn w:val="a"/>
    <w:link w:val="afb"/>
    <w:pPr>
      <w:widowControl w:val="0"/>
      <w:spacing w:after="0" w:line="240" w:lineRule="auto"/>
    </w:pPr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customStyle="1" w:styleId="1b">
    <w:name w:val="Неразрешенное упоминание1"/>
    <w:basedOn w:val="13"/>
    <w:link w:val="1c"/>
    <w:rPr>
      <w:color w:val="605E5C"/>
      <w:shd w:val="clear" w:color="auto" w:fill="E1DFDD"/>
    </w:rPr>
  </w:style>
  <w:style w:type="character" w:customStyle="1" w:styleId="1c">
    <w:name w:val="Неразрешенное упоминание1"/>
    <w:basedOn w:val="a1"/>
    <w:link w:val="1b"/>
    <w:rPr>
      <w:color w:val="605E5C"/>
      <w:shd w:val="clear" w:color="auto" w:fill="E1DFDD"/>
    </w:rPr>
  </w:style>
  <w:style w:type="paragraph" w:customStyle="1" w:styleId="1d">
    <w:name w:val="Указатель1"/>
    <w:basedOn w:val="a"/>
    <w:link w:val="1e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e">
    <w:name w:val="Указатель1"/>
    <w:basedOn w:val="1"/>
    <w:link w:val="1d"/>
    <w:rPr>
      <w:rFonts w:ascii="Times New Roman" w:hAnsi="Times New Roman"/>
      <w:sz w:val="24"/>
    </w:rPr>
  </w:style>
  <w:style w:type="paragraph" w:customStyle="1" w:styleId="1f">
    <w:name w:val="Гиперссылка1"/>
    <w:link w:val="afc"/>
    <w:rPr>
      <w:color w:val="000080"/>
      <w:u w:val="single"/>
    </w:rPr>
  </w:style>
  <w:style w:type="character" w:styleId="afc">
    <w:name w:val="Hyperlink"/>
    <w:link w:val="1f"/>
    <w:rPr>
      <w:color w:val="000080"/>
      <w:u w:val="single"/>
    </w:rPr>
  </w:style>
  <w:style w:type="paragraph" w:customStyle="1" w:styleId="Footnote">
    <w:name w:val="Footnote"/>
    <w:basedOn w:val="a"/>
    <w:link w:val="Footnote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2">
    <w:name w:val="Название1"/>
    <w:basedOn w:val="a"/>
    <w:link w:val="1f3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f3">
    <w:name w:val="Название1"/>
    <w:basedOn w:val="1"/>
    <w:link w:val="1f2"/>
    <w:rPr>
      <w:rFonts w:ascii="Times New Roman" w:hAnsi="Times New Roman"/>
      <w:i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8z0">
    <w:name w:val="WW8Num8z0"/>
    <w:link w:val="WW8Num8z00"/>
    <w:rPr>
      <w:rFonts w:ascii="Symbol" w:hAnsi="Symbol"/>
      <w:sz w:val="18"/>
    </w:rPr>
  </w:style>
  <w:style w:type="character" w:customStyle="1" w:styleId="WW8Num8z00">
    <w:name w:val="WW8Num8z0"/>
    <w:link w:val="WW8Num8z0"/>
    <w:rPr>
      <w:rFonts w:ascii="Symbol" w:hAnsi="Symbol"/>
      <w:sz w:val="1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fd">
    <w:name w:val="No Spacing"/>
    <w:link w:val="afe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e">
    <w:name w:val="Без интервала Знак"/>
    <w:link w:val="afd"/>
    <w:rPr>
      <w:rFonts w:ascii="Times New Roman" w:hAnsi="Times New Roman"/>
      <w:sz w:val="24"/>
    </w:rPr>
  </w:style>
  <w:style w:type="paragraph" w:customStyle="1" w:styleId="hl">
    <w:name w:val="hl"/>
    <w:basedOn w:val="13"/>
    <w:link w:val="hl0"/>
  </w:style>
  <w:style w:type="character" w:customStyle="1" w:styleId="hl0">
    <w:name w:val="hl"/>
    <w:basedOn w:val="a1"/>
    <w:link w:val="hl"/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aff">
    <w:name w:val="List"/>
    <w:basedOn w:val="a0"/>
    <w:link w:val="aff0"/>
  </w:style>
  <w:style w:type="character" w:customStyle="1" w:styleId="aff0">
    <w:name w:val="Список Знак"/>
    <w:basedOn w:val="a5"/>
    <w:link w:val="aff"/>
    <w:rPr>
      <w:rFonts w:ascii="Times New Roman" w:hAnsi="Times New Roman"/>
      <w:sz w:val="24"/>
    </w:rPr>
  </w:style>
  <w:style w:type="paragraph" w:customStyle="1" w:styleId="1f4">
    <w:name w:val="Строгий1"/>
    <w:basedOn w:val="13"/>
    <w:link w:val="aff1"/>
    <w:rPr>
      <w:b/>
    </w:rPr>
  </w:style>
  <w:style w:type="character" w:styleId="aff1">
    <w:name w:val="Strong"/>
    <w:basedOn w:val="a1"/>
    <w:link w:val="1f4"/>
    <w:rPr>
      <w:b/>
    </w:rPr>
  </w:style>
  <w:style w:type="paragraph" w:customStyle="1" w:styleId="1f5">
    <w:name w:val="Просмотренная гиперссылка1"/>
    <w:basedOn w:val="13"/>
    <w:link w:val="aff2"/>
    <w:rPr>
      <w:color w:val="954F72" w:themeColor="followedHyperlink"/>
      <w:u w:val="single"/>
    </w:rPr>
  </w:style>
  <w:style w:type="character" w:styleId="aff2">
    <w:name w:val="FollowedHyperlink"/>
    <w:basedOn w:val="a1"/>
    <w:link w:val="1f5"/>
    <w:rPr>
      <w:color w:val="954F72" w:themeColor="followedHyperlink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3">
    <w:name w:val="Subtitle"/>
    <w:basedOn w:val="a"/>
    <w:next w:val="a"/>
    <w:link w:val="aff4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f4">
    <w:name w:val="Подзаголовок Знак"/>
    <w:basedOn w:val="1"/>
    <w:link w:val="aff3"/>
    <w:rPr>
      <w:rFonts w:ascii="Georgia" w:hAnsi="Georgia"/>
      <w:i/>
      <w:color w:val="666666"/>
      <w:sz w:val="48"/>
    </w:rPr>
  </w:style>
  <w:style w:type="paragraph" w:customStyle="1" w:styleId="aff5">
    <w:name w:val="Маркеры списка"/>
    <w:link w:val="aff6"/>
    <w:rPr>
      <w:rFonts w:ascii="OpenSymbol" w:hAnsi="OpenSymbol"/>
    </w:rPr>
  </w:style>
  <w:style w:type="character" w:customStyle="1" w:styleId="aff6">
    <w:name w:val="Маркеры списка"/>
    <w:link w:val="aff5"/>
    <w:rPr>
      <w:rFonts w:ascii="OpenSymbol" w:hAnsi="OpenSymbol"/>
    </w:rPr>
  </w:style>
  <w:style w:type="paragraph" w:styleId="aff7">
    <w:name w:val="Title"/>
    <w:basedOn w:val="a"/>
    <w:link w:val="aff8"/>
    <w:uiPriority w:val="10"/>
    <w:qFormat/>
    <w:pPr>
      <w:widowControl w:val="0"/>
      <w:spacing w:before="57" w:after="0" w:line="240" w:lineRule="auto"/>
      <w:ind w:left="100"/>
    </w:pPr>
    <w:rPr>
      <w:rFonts w:ascii="Times New Roman" w:hAnsi="Times New Roman"/>
      <w:b/>
      <w:sz w:val="33"/>
    </w:rPr>
  </w:style>
  <w:style w:type="character" w:customStyle="1" w:styleId="aff8">
    <w:name w:val="Название Знак"/>
    <w:basedOn w:val="1"/>
    <w:link w:val="aff7"/>
    <w:rPr>
      <w:rFonts w:ascii="Times New Roman" w:hAnsi="Times New Roman"/>
      <w:b/>
      <w:sz w:val="33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4"/>
    </w:rPr>
  </w:style>
  <w:style w:type="paragraph" w:styleId="aff9">
    <w:name w:val="header"/>
    <w:basedOn w:val="a"/>
    <w:link w:val="aff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a">
    <w:name w:val="Верхний колонтитул Знак"/>
    <w:basedOn w:val="1"/>
    <w:link w:val="aff9"/>
    <w:rPr>
      <w:rFonts w:ascii="Times New Roman" w:hAnsi="Times New Roman"/>
      <w:sz w:val="24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0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table" w:customStyle="1" w:styleId="TableNormal">
    <w:name w:val="Table Normal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b">
    <w:name w:val="Table Grid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ck.ru/3SaEd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SaE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6942</Words>
  <Characters>39574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</cp:revision>
  <dcterms:created xsi:type="dcterms:W3CDTF">2026-03-18T11:19:00Z</dcterms:created>
  <dcterms:modified xsi:type="dcterms:W3CDTF">2026-03-18T11:19:00Z</dcterms:modified>
</cp:coreProperties>
</file>