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ind w:firstLine="54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540"/>
        <w:jc w:val="center"/>
        <w:rPr>
          <w:b/>
          <w:sz w:val="28"/>
        </w:rPr>
      </w:pPr>
      <w:bookmarkStart w:id="0" w:name="_Hlk237605489"/>
      <w:r>
        <w:rPr>
          <w:b/>
          <w:sz w:val="28"/>
        </w:rPr>
        <w:t>Об утверждении Порядка обеспечения детей участников специальной военной операции правом на перевод в первоочередном порядке в другие наиболее приближенные к месту жительства семей муниципальные образовательные организации, реализующие програ</w:t>
      </w:r>
      <w:r>
        <w:rPr>
          <w:rStyle w:val="11"/>
          <w:b/>
          <w:sz w:val="28"/>
        </w:rPr>
        <w:t>ммы дошкольного, начального общего, основного общего и среднего общего образования</w:t>
      </w:r>
      <w:bookmarkEnd w:id="0"/>
    </w:p>
    <w:p>
      <w:pPr>
        <w:pStyle w:val="Normal"/>
        <w:ind w:firstLine="540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>
      <w:pPr>
        <w:pStyle w:val="Normal"/>
        <w:ind w:firstLine="540"/>
        <w:jc w:val="both"/>
        <w:rPr>
          <w:sz w:val="28"/>
        </w:rPr>
      </w:pPr>
      <w:bookmarkStart w:id="1" w:name="_Hlk237605908"/>
      <w:r>
        <w:rPr>
          <w:sz w:val="28"/>
        </w:rPr>
        <w:t xml:space="preserve">В соответствии с федеральными законами от 20.03.2025 № 33-ФЗ </w:t>
        <w:br/>
        <w:t xml:space="preserve">«Об общих </w:t>
      </w:r>
      <w:r>
        <w:rPr>
          <w:rStyle w:val="11"/>
          <w:sz w:val="28"/>
        </w:rPr>
        <w:t xml:space="preserve">принципах организации местного самоуправления в единой системе публичной власти», от 29.12.2012 № 273-ФЗ «Об образовании в Российской Федерации»,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руководствуясь Уставом муниципального образования </w:t>
      </w:r>
      <w:r>
        <w:rPr>
          <w:sz w:val="28"/>
        </w:rPr>
        <w:t> Кореновский</w:t>
      </w:r>
      <w:r>
        <w:rPr>
          <w:rStyle w:val="11"/>
          <w:sz w:val="28"/>
        </w:rPr>
        <w:t xml:space="preserve"> муниципальный район Краснодарского края</w:t>
      </w:r>
      <w:bookmarkEnd w:id="1"/>
      <w:r>
        <w:rPr>
          <w:rStyle w:val="11"/>
          <w:sz w:val="28"/>
        </w:rPr>
        <w:t xml:space="preserve">, администрация муниципального образования Кореновский муниципальный район Краснодарского края п о с т а н о в л я е т: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1.  Утвердить Порядок обеспечения детей участников специальной военной операции правом на перевод в первоочередном порядке в другие наиболее приближенные к месту жительства семей муниципальные образовательные организации, реализующие програм</w:t>
      </w:r>
      <w:r>
        <w:rPr>
          <w:rStyle w:val="11"/>
          <w:sz w:val="28"/>
        </w:rPr>
        <w:t>мы дошкольного, начального общего, основного общего и среднего общего образования, с</w:t>
      </w:r>
      <w:r>
        <w:rPr>
          <w:sz w:val="28"/>
        </w:rPr>
        <w:t>огласно приложению к настоящему постановлению.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  <w:szCs w:val="28"/>
        </w:rPr>
        <w:t>2. 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(Синицын) официально опубликовать настоящее постановление путем размещения его в сетевом издании «Официальный Интернет-портал администрации муниципального образования Кореновский район».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>
      <w:pPr>
        <w:pStyle w:val="Normal"/>
        <w:spacing w:before="0" w:after="0"/>
        <w:ind w:right="-143" w:hanging="0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pacing w:before="0" w:after="0"/>
        <w:ind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spacing w:before="0" w:after="0"/>
        <w:ind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before="0" w:after="0"/>
        <w:ind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spacing w:before="0" w:after="0"/>
        <w:ind w:right="-143" w:hanging="0"/>
        <w:contextualSpacing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Краснодарского края                                                 </w:t>
        <w:tab/>
        <w:tab/>
        <w:t xml:space="preserve">   </w:t>
      </w:r>
      <w:r>
        <w:rPr>
          <w:sz w:val="28"/>
          <w:szCs w:val="28"/>
          <w:lang w:eastAsia="ar-SA"/>
        </w:rPr>
        <w:t>С.А. Голобородько</w:t>
      </w:r>
    </w:p>
    <w:p>
      <w:pPr>
        <w:pStyle w:val="Normal"/>
        <w:spacing w:before="0" w:after="0"/>
        <w:ind w:right="-143" w:hanging="0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0"/>
        <w:ind w:left="5529" w:right="-143" w:firstLine="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spacing w:lineRule="atLeast" w:line="100" w:before="0" w:after="0"/>
        <w:ind w:left="5529" w:right="-143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__________ года № _____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24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center"/>
        <w:rPr>
          <w:b/>
          <w:sz w:val="28"/>
        </w:rPr>
      </w:pPr>
      <w:r>
        <w:rPr>
          <w:sz w:val="28"/>
        </w:rPr>
        <w:t>Порядок</w:t>
      </w:r>
    </w:p>
    <w:p>
      <w:pPr>
        <w:pStyle w:val="Normal"/>
        <w:jc w:val="center"/>
        <w:rPr>
          <w:b/>
          <w:sz w:val="28"/>
        </w:rPr>
      </w:pPr>
      <w:r>
        <w:rPr>
          <w:sz w:val="28"/>
        </w:rPr>
        <w:t xml:space="preserve">обеспечения детей участников специальной военной операции правом на перевод в первоочередном порядке в другие наиболее приближенные к месту жительства муниципальные образовательные организации, реализующие программы </w:t>
      </w:r>
      <w:r>
        <w:rPr>
          <w:rStyle w:val="11"/>
          <w:sz w:val="28"/>
        </w:rPr>
        <w:t>дошкольного, начального общего, основного общего и среднего общего образования</w:t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1. Порядок обеспечения детей участников специальной военной операции правом на перевод в первоочередном порядке в другие наиболее приближенные к месту жительства семей муниципальные образовательные организации, реализующие программы дошкольного образования (далее – Порядок) устанавливает условия предоставления дополнительной меры поддержки – обеспечение правом на перевод в первоочередном порядке детей участников специальной военной операции в другие наиболее приближенные к месту жительства муниципальные образовательные организации, реализующие программы </w:t>
      </w:r>
      <w:r>
        <w:rPr>
          <w:rStyle w:val="11"/>
          <w:sz w:val="28"/>
        </w:rPr>
        <w:t>дошкольного, начального общего, основного общего и среднего общего образования</w:t>
      </w:r>
      <w:r>
        <w:rPr>
          <w:sz w:val="28"/>
        </w:rPr>
        <w:t xml:space="preserve">, в том числе, в случае признания участников специальной военной операции без вести пропавшими, их смерти (гибели) в связи с выполнением задач в ходе специальной военной операции.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2. Мера поддержки предоставляется детям лиц, перечисленных в подпунктах «а» - «в» пункта 1 </w:t>
      </w:r>
      <w:r>
        <w:rPr>
          <w:rStyle w:val="11"/>
          <w:sz w:val="28"/>
        </w:rPr>
        <w:t>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№ 327).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В целях настоящего Порядка к детям участников специальной военной операции относя</w:t>
      </w:r>
      <w:r>
        <w:rPr>
          <w:rStyle w:val="11"/>
          <w:sz w:val="28"/>
        </w:rPr>
        <w:t>тся: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1) дети, не достигшие возраста 18 лет, в том числе которые рождены после гибели (смерти) лиц, названных в подпунктах «а» - «в» пункта 1 Указа № 327, и в отношении которых отцовство установлено в соответствии с пунктом 2 статьи 48 Семейного кодекса Российской Федерации;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>2) дети старше 18 лет, ставшие инвалидами до достижения ими возраста 18 лет;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3) дети, находящиеся на иждивении лиц, названных в подпунктах «а» - «в» пункта 1 Указа № 327, либо находившиеся на иждивении этих лиц на дату их гибели (смерти).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3. Право на обращение за предоставлением предусмотренной Порядком меры поддержки сохраняется не менее чем до конца года, следующего за годом завершения специальной военной операции, а в отношении детей участников специальной военной операции,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задач, – бессрочно.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4. Перевод детей участников </w:t>
      </w:r>
      <w:r>
        <w:rPr>
          <w:sz w:val="28"/>
        </w:rPr>
        <w:t>специальной военной операции</w:t>
      </w:r>
      <w:r>
        <w:rPr>
          <w:rStyle w:val="11"/>
          <w:sz w:val="28"/>
        </w:rPr>
        <w:t xml:space="preserve"> в другие наиболее приближенные к месту жительства семей муниципальные образовательные организации, реализующие программы дошкольного, начального общего, основного общего и среднего общего образования, осуществляется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Министерства просвещения Российской Федерации от 09.12.2024 № 862, и Порядком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Министерства просвещения Российской Федерации от 06.04.2023 № 240 (далее – приказы Министерства просвещения от 09.12.2024 </w:t>
        <w:br/>
        <w:t xml:space="preserve">№ 862, от 06.04.2023 № 240).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>5. Для получения меры поддержки родитель (законный представитель) вместе с документами, указанными в пунктах 8-9</w:t>
      </w:r>
      <w:r>
        <w:rPr>
          <w:rStyle w:val="11"/>
          <w:sz w:val="28"/>
          <w:vertAlign w:val="superscript"/>
        </w:rPr>
        <w:t>2</w:t>
      </w:r>
      <w:r>
        <w:rPr>
          <w:rStyle w:val="11"/>
          <w:sz w:val="28"/>
        </w:rPr>
        <w:t xml:space="preserve"> приказа Министерства просвещения от 09.12.2024 № 862, пункте 10 приказа Министерства просвещения от 06.04.2023 № 240, предоставляет </w:t>
      </w:r>
      <w:r>
        <w:rPr>
          <w:sz w:val="28"/>
        </w:rPr>
        <w:t xml:space="preserve">в управление образованием администрации муниципального образования Кореновский муниципальный район Краснодарского края (далее – Управление) документ, подтверждающий участие одного из родителей (законных представителей) в специальной военной операции, либо его заверенную копию.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К документам, подтверждающим участие в специальной военной операции, в частности относятся: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1) справка (документ)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федеральными органами исполнительной власти, федеральными государственными органами в соответствии с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2) выписка из приказа военного комиссариата о призыве на военную службу по мобилизации в Вооруженные Силы Российской Федерации;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3) уведомление федерального органа исполнительной власти о заключении </w:t>
        <w:br/>
        <w:t>с лицом контракта о прохождении военной службы в соответствии с пунктом 7 статьи 38 Федерального закона от 28.03.1998 № 53-ФЗ «О воинской обязанности и военной службе»;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4) копия контракта, заключенного в соответствии с пунктом 7 статьи 38 Федерального закона от 28.03.1998 № 53-ФЗ «О воинской обязанности </w:t>
        <w:br/>
        <w:t>и военной службе»;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5) военный биле</w:t>
      </w:r>
      <w:r>
        <w:rPr>
          <w:rStyle w:val="11"/>
          <w:sz w:val="28"/>
        </w:rPr>
        <w:t>т с записью об участии в специальной военной операции;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6) контракт о пребывании в добровольческом формировании </w:t>
        <w:br/>
        <w:t>(о добровольном содействии в выполнении задач, возложенных на Вооруженные Силы Российской Федерации), в котором участник специальной военной операции исполняет (исполнял) обязанности по контракту, или должностным лицом военного комиссариата, либо выписка из приказа, в котором указана дата заключения контракта;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7) контракт о прохождении в</w:t>
      </w:r>
      <w:r>
        <w:rPr>
          <w:rStyle w:val="11"/>
          <w:sz w:val="28"/>
        </w:rPr>
        <w:t>оенной службы, заключенный в соответствии с пунктом 7 статьи 38 Федерального закона от 28.03.1998 № 53-ФЗ «О воинской обязанности и военной службе»;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rStyle w:val="11"/>
          <w:sz w:val="28"/>
        </w:rPr>
        <w:t xml:space="preserve">8) иные документы, подтверждающие участие в специальной военной операции.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В целях предоставления меры поддержки детям, указанным в подпункте 3 пункта 2 настоящего Порядка, также предоставляются сведения, подтверждающие их нахождение на иждивении участника специальной военной операции.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6. О принятом решении родитель (законный представитель) информируется Управлением в течение 10 рабочих дней со дня его принятия способом, указанным в заявлении.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7. Основаниями для принятия решения об отказе в переводе </w:t>
        <w:br/>
        <w:t>в первоочередном порядке являются: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- непредставление документов, определенных пунктом 5 настоящего Порядка;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>- несоответствие ребенка, в интересах которого обратился родитель (законный представитель), категориям, определенным пунктом 2 настоящего Порядка.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  <w:t xml:space="preserve">8. Родитель (законный представитель) вправе повторно обратиться </w:t>
        <w:br/>
        <w:t xml:space="preserve">с заявлением об оказании меры социальной поддержки после устранения причин, послуживших основанием для отказа. 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 w:before="0" w:after="0"/>
        <w:ind w:left="-142"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spacing w:lineRule="atLeast" w:line="100" w:before="0" w:after="0"/>
        <w:ind w:left="-142"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0"/>
        <w:ind w:left="-142"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100" w:before="0" w:after="0"/>
        <w:ind w:left="-142" w:right="-143" w:hanging="0"/>
        <w:contextualSpacing/>
        <w:rPr>
          <w:sz w:val="28"/>
          <w:szCs w:val="28"/>
        </w:rPr>
      </w:pPr>
      <w:r>
        <w:rPr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   М.В. Куземченко</w:t>
      </w:r>
    </w:p>
    <w:p>
      <w:pPr>
        <w:pStyle w:val="Normal"/>
        <w:widowControl/>
        <w:ind w:firstLine="567"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680" w:gutter="0" w:header="708" w:top="1134" w:footer="0" w:bottom="1116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link w:val="1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">
    <w:name w:val="Heading 1"/>
    <w:next w:val="Normal"/>
    <w:link w:val="13"/>
    <w:uiPriority w:val="9"/>
    <w:qFormat/>
    <w:pPr>
      <w:widowControl w:val="false"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4"/>
    <w:uiPriority w:val="9"/>
    <w:qFormat/>
    <w:pPr>
      <w:widowControl w:val="false"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basedOn w:val="Normal"/>
    <w:next w:val="Normal"/>
    <w:link w:val="32"/>
    <w:uiPriority w:val="9"/>
    <w:qFormat/>
    <w:pPr>
      <w:keepNext w:val="true"/>
      <w:jc w:val="center"/>
      <w:outlineLvl w:val="2"/>
    </w:pPr>
    <w:rPr>
      <w:sz w:val="28"/>
      <w:u w:val="single"/>
    </w:rPr>
  </w:style>
  <w:style w:type="paragraph" w:styleId="4">
    <w:name w:val="Heading 4"/>
    <w:next w:val="Normal"/>
    <w:link w:val="42"/>
    <w:uiPriority w:val="9"/>
    <w:qFormat/>
    <w:pPr>
      <w:widowControl w:val="fals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 w:val="fals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31" w:customStyle="1">
    <w:name w:val="Основной текст с отступом 3 Знак"/>
    <w:basedOn w:val="11"/>
    <w:link w:val="BodyTextIndent3"/>
    <w:qFormat/>
    <w:rPr>
      <w:sz w:val="16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12" w:customStyle="1">
    <w:name w:val="Знак1 Знак"/>
    <w:basedOn w:val="11"/>
    <w:link w:val="15"/>
    <w:qFormat/>
    <w:rPr>
      <w:rFonts w:ascii="Arial" w:hAnsi="Arial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2" w:customStyle="1">
    <w:name w:val="Заголовок 3 Знак"/>
    <w:basedOn w:val="11"/>
    <w:qFormat/>
    <w:rPr>
      <w:sz w:val="28"/>
      <w:u w:val="single"/>
    </w:rPr>
  </w:style>
  <w:style w:type="character" w:styleId="33" w:customStyle="1">
    <w:name w:val="Основной текст 3 Знак"/>
    <w:basedOn w:val="11"/>
    <w:link w:val="BodyText3"/>
    <w:qFormat/>
    <w:rPr>
      <w:sz w:val="16"/>
    </w:rPr>
  </w:style>
  <w:style w:type="character" w:styleId="Style9" w:customStyle="1">
    <w:name w:val="Текст выноски Знак"/>
    <w:basedOn w:val="11"/>
    <w:link w:val="BalloonText"/>
    <w:qFormat/>
    <w:rPr>
      <w:rFonts w:ascii="Tahoma" w:hAnsi="Tahoma"/>
      <w:sz w:val="16"/>
    </w:rPr>
  </w:style>
  <w:style w:type="character" w:styleId="Style10" w:customStyle="1">
    <w:name w:val="Основной текст с отступом Знак"/>
    <w:basedOn w:val="11"/>
    <w:qFormat/>
    <w:rPr>
      <w:sz w:val="28"/>
    </w:rPr>
  </w:style>
  <w:style w:type="character" w:styleId="34" w:customStyle="1">
    <w:name w:val="Оглавление 3 Знак"/>
    <w:qFormat/>
    <w:rPr>
      <w:rFonts w:ascii="XO Thames" w:hAnsi="XO Thames"/>
      <w:sz w:val="28"/>
    </w:rPr>
  </w:style>
  <w:style w:type="character" w:styleId="Style11" w:customStyle="1">
    <w:name w:val="Обычный (Интернет) Знак"/>
    <w:basedOn w:val="11"/>
    <w:link w:val="NormalWeb"/>
    <w:qFormat/>
    <w:rPr>
      <w:sz w:val="24"/>
    </w:rPr>
  </w:style>
  <w:style w:type="character" w:styleId="Style12" w:customStyle="1">
    <w:name w:val="Верхний колонтитул Знак"/>
    <w:basedOn w:val="11"/>
    <w:qFormat/>
    <w:rPr>
      <w:sz w:val="28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qFormat/>
    <w:rPr>
      <w:rFonts w:ascii="XO Thames" w:hAnsi="XO Thames"/>
      <w:b/>
      <w:sz w:val="32"/>
    </w:rPr>
  </w:style>
  <w:style w:type="character" w:styleId="-">
    <w:name w:val="Hyperlink"/>
    <w:link w:val="17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ConsPlusTitle" w:customStyle="1">
    <w:name w:val="ConsPlusTitle"/>
    <w:link w:val="ConsPlusTitle1"/>
    <w:qFormat/>
    <w:rPr>
      <w:b/>
      <w:sz w:val="24"/>
    </w:rPr>
  </w:style>
  <w:style w:type="character" w:styleId="Style13" w:customStyle="1">
    <w:name w:val="Основной текст Знак"/>
    <w:basedOn w:val="11"/>
    <w:qFormat/>
    <w:rPr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4" w:customStyle="1">
    <w:name w:val="Нижний колонтитул Знак"/>
    <w:basedOn w:val="11"/>
    <w:qFormat/>
    <w:rPr/>
  </w:style>
  <w:style w:type="character" w:styleId="ConsTitle" w:customStyle="1">
    <w:name w:val="ConsTitle"/>
    <w:link w:val="ConsTitle1"/>
    <w:qFormat/>
    <w:rPr>
      <w:rFonts w:ascii="Arial" w:hAnsi="Arial"/>
      <w:b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22" w:customStyle="1">
    <w:name w:val="Основной текст 2 Знак"/>
    <w:basedOn w:val="11"/>
    <w:link w:val="BodyText2"/>
    <w:qFormat/>
    <w:rPr/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UnresolvedMention">
    <w:name w:val="Unresolved Mention"/>
    <w:link w:val="19"/>
    <w:qFormat/>
    <w:rPr>
      <w:color w:val="605E5C"/>
      <w:shd w:fill="E1DFDD" w:val="clear"/>
    </w:rPr>
  </w:style>
  <w:style w:type="character" w:styleId="Style16" w:customStyle="1">
    <w:name w:val="Абзац списка Знак"/>
    <w:basedOn w:val="11"/>
    <w:link w:val="ListParagraph"/>
    <w:qFormat/>
    <w:rPr/>
  </w:style>
  <w:style w:type="character" w:styleId="Style17" w:customStyle="1">
    <w:name w:val="Заголовок Знак"/>
    <w:qFormat/>
    <w:rPr>
      <w:rFonts w:ascii="XO Thames" w:hAnsi="XO Thames"/>
      <w:b/>
      <w:caps/>
      <w:sz w:val="40"/>
    </w:rPr>
  </w:style>
  <w:style w:type="character" w:styleId="23" w:customStyle="1">
    <w:name w:val="Основной текст с отступом 2 Знак"/>
    <w:basedOn w:val="11"/>
    <w:link w:val="BodyTextIndent2"/>
    <w:qFormat/>
    <w:rPr>
      <w:sz w:val="28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4" w:customStyle="1">
    <w:name w:val="Заголовок 2 Знак"/>
    <w:qFormat/>
    <w:rPr>
      <w:rFonts w:ascii="XO Thames" w:hAnsi="XO Thames"/>
      <w:b/>
      <w:sz w:val="28"/>
    </w:rPr>
  </w:style>
  <w:style w:type="character" w:styleId="ConsPlusNormal" w:customStyle="1">
    <w:name w:val="ConsPlusNormal"/>
    <w:link w:val="ConsPlusNormal1"/>
    <w:qFormat/>
    <w:rPr>
      <w:rFonts w:ascii="Arial" w:hAnsi="Aria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Style13"/>
    <w:pPr>
      <w:ind w:firstLine="851"/>
      <w:jc w:val="both"/>
    </w:pPr>
    <w:rPr>
      <w:sz w:val="28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25">
    <w:name w:val="TOC 2"/>
    <w:next w:val="Normal"/>
    <w:link w:val="21"/>
    <w:uiPriority w:val="39"/>
    <w:pPr>
      <w:widowControl w:val="false"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 w:val="false"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Indent3">
    <w:name w:val="Body Text Indent 3"/>
    <w:basedOn w:val="Normal"/>
    <w:link w:val="31"/>
    <w:qFormat/>
    <w:pPr>
      <w:spacing w:before="0" w:after="120"/>
      <w:ind w:left="283" w:firstLine="851"/>
      <w:jc w:val="both"/>
    </w:pPr>
    <w:rPr>
      <w:sz w:val="16"/>
    </w:rPr>
  </w:style>
  <w:style w:type="paragraph" w:styleId="61">
    <w:name w:val="TOC 6"/>
    <w:next w:val="Normal"/>
    <w:link w:val="6"/>
    <w:uiPriority w:val="39"/>
    <w:pPr>
      <w:widowControl w:val="false"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 w:val="false"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1 Знак"/>
    <w:basedOn w:val="Normal"/>
    <w:next w:val="Normal"/>
    <w:link w:val="12"/>
    <w:qFormat/>
    <w:pPr>
      <w:spacing w:lineRule="exact" w:line="240" w:before="0" w:after="160"/>
    </w:pPr>
    <w:rPr>
      <w:rFonts w:ascii="Arial" w:hAnsi="Arial"/>
    </w:rPr>
  </w:style>
  <w:style w:type="paragraph" w:styleId="Endnote1" w:customStyle="1">
    <w:name w:val="Endnote"/>
    <w:link w:val="Endnote"/>
    <w:qFormat/>
    <w:pPr>
      <w:widowControl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odyText3">
    <w:name w:val="Body Text 3"/>
    <w:basedOn w:val="Normal"/>
    <w:link w:val="33"/>
    <w:qFormat/>
    <w:pPr>
      <w:spacing w:before="0" w:after="120"/>
      <w:ind w:firstLine="851"/>
      <w:jc w:val="both"/>
    </w:pPr>
    <w:rPr>
      <w:sz w:val="16"/>
    </w:rPr>
  </w:style>
  <w:style w:type="paragraph" w:styleId="BalloonText">
    <w:name w:val="Balloon Text"/>
    <w:basedOn w:val="Normal"/>
    <w:link w:val="Style9"/>
    <w:qFormat/>
    <w:pPr/>
    <w:rPr>
      <w:rFonts w:ascii="Tahoma" w:hAnsi="Tahoma"/>
      <w:sz w:val="16"/>
    </w:rPr>
  </w:style>
  <w:style w:type="paragraph" w:styleId="16" w:customStyle="1">
    <w:name w:val="Основной шрифт абзаца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3">
    <w:name w:val="Body Text Indent"/>
    <w:basedOn w:val="Normal"/>
    <w:link w:val="Style10"/>
    <w:pPr>
      <w:spacing w:before="0" w:after="120"/>
      <w:ind w:left="283" w:firstLine="851"/>
      <w:jc w:val="both"/>
    </w:pPr>
    <w:rPr>
      <w:sz w:val="28"/>
    </w:rPr>
  </w:style>
  <w:style w:type="paragraph" w:styleId="35">
    <w:name w:val="TOC 3"/>
    <w:next w:val="Normal"/>
    <w:link w:val="34"/>
    <w:uiPriority w:val="39"/>
    <w:pPr>
      <w:widowControl w:val="false"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link w:val="Style11"/>
    <w:qFormat/>
    <w:pPr>
      <w:spacing w:beforeAutospacing="1" w:after="119"/>
    </w:pPr>
    <w:rPr>
      <w:sz w:val="24"/>
    </w:rPr>
  </w:style>
  <w:style w:type="paragraph" w:styleId="Style24" w:customStyle="1">
    <w:name w:val="Колонтитул"/>
    <w:qFormat/>
    <w:pPr>
      <w:widowControl w:val="fals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5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17" w:customStyle="1">
    <w:name w:val="Гиперссылка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8">
    <w:name w:val="TOC 1"/>
    <w:next w:val="Normal"/>
    <w:link w:val="14"/>
    <w:uiPriority w:val="39"/>
    <w:pPr>
      <w:widowControl w:val="fals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 w:val="false"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Title1" w:customStyle="1">
    <w:name w:val="ConsPlusTitle"/>
    <w:link w:val="ConsPlusTitle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 w:val="false"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6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Title1" w:customStyle="1">
    <w:name w:val="ConsTitle"/>
    <w:link w:val="ConsTitle"/>
    <w:qFormat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 w:val="false"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/>
  </w:style>
  <w:style w:type="paragraph" w:styleId="Style27">
    <w:name w:val="Subtitle"/>
    <w:next w:val="Normal"/>
    <w:link w:val="Style15"/>
    <w:uiPriority w:val="11"/>
    <w:qFormat/>
    <w:pPr>
      <w:widowControl w:val="fals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9" w:customStyle="1">
    <w:name w:val="Неразрешенное упоминание1"/>
    <w:link w:val="UnresolvedMention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605E5C"/>
      <w:kern w:val="0"/>
      <w:sz w:val="20"/>
      <w:szCs w:val="20"/>
      <w:shd w:fill="E1DFDD" w:val="clear"/>
      <w:lang w:val="ru-RU" w:eastAsia="ru-RU" w:bidi="ar-SA"/>
    </w:rPr>
  </w:style>
  <w:style w:type="paragraph" w:styleId="ListParagraph">
    <w:name w:val="List Paragraph"/>
    <w:basedOn w:val="Normal"/>
    <w:link w:val="Style16"/>
    <w:qFormat/>
    <w:pPr>
      <w:spacing w:before="0" w:after="0"/>
      <w:ind w:left="720" w:hanging="0"/>
      <w:contextualSpacing/>
    </w:pPr>
    <w:rPr/>
  </w:style>
  <w:style w:type="paragraph" w:styleId="Style28">
    <w:name w:val="Title"/>
    <w:next w:val="Normal"/>
    <w:link w:val="Style17"/>
    <w:uiPriority w:val="10"/>
    <w:qFormat/>
    <w:pPr>
      <w:widowControl w:val="fals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odyTextIndent2">
    <w:name w:val="Body Text Indent 2"/>
    <w:basedOn w:val="Normal"/>
    <w:link w:val="23"/>
    <w:qFormat/>
    <w:pPr>
      <w:ind w:firstLine="851"/>
      <w:jc w:val="both"/>
    </w:pPr>
    <w:rPr>
      <w:sz w:val="28"/>
    </w:rPr>
  </w:style>
  <w:style w:type="paragraph" w:styleId="ConsPlusNormal1" w:customStyle="1">
    <w:name w:val="ConsPlusNormal"/>
    <w:link w:val="ConsPlusNormal"/>
    <w:qFormat/>
    <w:pPr>
      <w:widowControl w:val="false"/>
      <w:bidi w:val="0"/>
      <w:spacing w:before="0" w:after="0"/>
      <w:ind w:firstLine="720"/>
      <w:jc w:val="both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LibreOffice/7.5.4.2$Windows_X86_64 LibreOffice_project/36ccfdc35048b057fd9854c757a8b67ec53977b6</Application>
  <AppVersion>15.0000</AppVersion>
  <Pages>5</Pages>
  <Words>1446</Words>
  <Characters>8248</Characters>
  <CharactersWithSpaces>9675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2026-03-19T10:47:00Z</dcterms:created>
  <dc:creator/>
  <dc:description/>
  <dc:language>ru-RU</dc:language>
  <cp:lastModifiedBy/>
  <cp:lastPrinted>2026-08-14T10:09:00Z</cp:lastPrinted>
  <dcterms:modified xsi:type="dcterms:W3CDTF">2026-08-14T14:36:15Z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